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bCs/>
          <w:sz w:val="40"/>
          <w:szCs w:val="40"/>
        </w:rPr>
      </w:pPr>
      <w:r>
        <w:rPr>
          <w:rFonts w:ascii="仿宋" w:hAnsi="仿宋" w:eastAsia="仿宋"/>
          <w:b/>
          <w:bCs/>
          <w:sz w:val="40"/>
          <w:szCs w:val="40"/>
        </w:rPr>
        <w:t>《</w:t>
      </w:r>
      <w:r>
        <w:rPr>
          <w:rFonts w:hint="eastAsia" w:ascii="仿宋" w:hAnsi="仿宋" w:eastAsia="仿宋"/>
          <w:b/>
          <w:bCs/>
          <w:sz w:val="40"/>
          <w:szCs w:val="40"/>
        </w:rPr>
        <w:t>低温仓储作业规范</w:t>
      </w:r>
      <w:r>
        <w:rPr>
          <w:rFonts w:ascii="仿宋" w:hAnsi="仿宋" w:eastAsia="仿宋"/>
          <w:b/>
          <w:bCs/>
          <w:sz w:val="40"/>
          <w:szCs w:val="40"/>
        </w:rPr>
        <w:t>》</w:t>
      </w:r>
      <w:r>
        <w:rPr>
          <w:rFonts w:hint="eastAsia" w:ascii="仿宋" w:hAnsi="仿宋" w:eastAsia="仿宋"/>
          <w:b/>
          <w:bCs/>
          <w:sz w:val="40"/>
          <w:szCs w:val="40"/>
        </w:rPr>
        <w:t>国家标准</w:t>
      </w:r>
    </w:p>
    <w:p>
      <w:pPr>
        <w:jc w:val="center"/>
        <w:rPr>
          <w:rFonts w:ascii="仿宋" w:hAnsi="仿宋" w:eastAsia="仿宋"/>
          <w:b/>
          <w:bCs/>
          <w:sz w:val="40"/>
          <w:szCs w:val="40"/>
        </w:rPr>
      </w:pPr>
      <w:r>
        <w:rPr>
          <w:rFonts w:hint="eastAsia" w:ascii="仿宋" w:hAnsi="仿宋" w:eastAsia="仿宋"/>
          <w:b/>
          <w:bCs/>
          <w:sz w:val="40"/>
          <w:szCs w:val="40"/>
        </w:rPr>
        <w:t>（征求意见稿）</w:t>
      </w:r>
    </w:p>
    <w:p>
      <w:pPr>
        <w:jc w:val="center"/>
        <w:rPr>
          <w:rFonts w:ascii="仿宋" w:hAnsi="仿宋" w:eastAsia="仿宋"/>
          <w:b/>
          <w:bCs/>
          <w:sz w:val="40"/>
          <w:szCs w:val="40"/>
        </w:rPr>
      </w:pPr>
      <w:r>
        <w:rPr>
          <w:rFonts w:hint="eastAsia" w:ascii="仿宋" w:hAnsi="仿宋" w:eastAsia="仿宋"/>
          <w:b/>
          <w:bCs/>
          <w:sz w:val="40"/>
          <w:szCs w:val="40"/>
        </w:rPr>
        <w:t>编制说明</w:t>
      </w:r>
    </w:p>
    <w:p>
      <w:pPr>
        <w:ind w:firstLine="643" w:firstLineChars="200"/>
        <w:rPr>
          <w:rFonts w:cs="黑体" w:asciiTheme="minorEastAsia" w:hAnsiTheme="minorEastAsia"/>
          <w:b/>
          <w:bCs/>
          <w:sz w:val="32"/>
          <w:szCs w:val="32"/>
        </w:rPr>
      </w:pPr>
      <w:r>
        <w:rPr>
          <w:rFonts w:hint="eastAsia" w:cs="黑体" w:asciiTheme="minorEastAsia" w:hAnsiTheme="minorEastAsia"/>
          <w:b/>
          <w:bCs/>
          <w:sz w:val="32"/>
          <w:szCs w:val="32"/>
        </w:rPr>
        <w:t>一、工作简况</w:t>
      </w:r>
    </w:p>
    <w:p>
      <w:pPr>
        <w:ind w:firstLine="562" w:firstLineChars="200"/>
        <w:rPr>
          <w:rFonts w:ascii="仿宋" w:hAnsi="仿宋" w:eastAsia="仿宋"/>
          <w:b/>
          <w:sz w:val="28"/>
          <w:szCs w:val="28"/>
        </w:rPr>
      </w:pPr>
      <w:r>
        <w:rPr>
          <w:rFonts w:hint="eastAsia" w:ascii="仿宋" w:hAnsi="仿宋" w:eastAsia="仿宋"/>
          <w:b/>
          <w:sz w:val="28"/>
          <w:szCs w:val="28"/>
        </w:rPr>
        <w:t>（一）任务来源</w:t>
      </w:r>
    </w:p>
    <w:p>
      <w:pPr>
        <w:pStyle w:val="24"/>
        <w:widowControl/>
        <w:adjustRightInd w:val="0"/>
        <w:snapToGrid w:val="0"/>
        <w:spacing w:line="360" w:lineRule="auto"/>
        <w:ind w:firstLine="560"/>
        <w:rPr>
          <w:rFonts w:ascii="仿宋" w:hAnsi="仿宋" w:eastAsia="仿宋" w:cs="仿宋"/>
          <w:bCs/>
          <w:sz w:val="28"/>
          <w:szCs w:val="28"/>
        </w:rPr>
      </w:pPr>
      <w:r>
        <w:rPr>
          <w:rFonts w:hint="eastAsia" w:ascii="仿宋" w:hAnsi="仿宋" w:eastAsia="仿宋" w:cs="仿宋"/>
          <w:bCs/>
          <w:sz w:val="28"/>
          <w:szCs w:val="28"/>
        </w:rPr>
        <w:t>本标准由全国物流标准化技术委员会提出并归口。2022年</w:t>
      </w:r>
      <w:r>
        <w:rPr>
          <w:rFonts w:ascii="仿宋" w:hAnsi="仿宋" w:eastAsia="仿宋" w:cs="仿宋"/>
          <w:bCs/>
          <w:sz w:val="28"/>
          <w:szCs w:val="28"/>
        </w:rPr>
        <w:t>12</w:t>
      </w:r>
      <w:r>
        <w:rPr>
          <w:rFonts w:hint="eastAsia" w:ascii="仿宋" w:hAnsi="仿宋" w:eastAsia="仿宋" w:cs="仿宋"/>
          <w:bCs/>
          <w:sz w:val="28"/>
          <w:szCs w:val="28"/>
        </w:rPr>
        <w:t>月经国家标准化管理委员会批准，《低温仓储作业规范》被列入国家标准制修订计划，项目编号：</w:t>
      </w:r>
      <w:r>
        <w:rPr>
          <w:rFonts w:ascii="仿宋" w:hAnsi="仿宋" w:eastAsia="仿宋" w:cs="仿宋"/>
          <w:bCs/>
          <w:sz w:val="28"/>
          <w:szCs w:val="28"/>
        </w:rPr>
        <w:t>20221060-T-469</w:t>
      </w:r>
      <w:r>
        <w:rPr>
          <w:rFonts w:hint="eastAsia" w:ascii="仿宋" w:hAnsi="仿宋" w:eastAsia="仿宋" w:cs="仿宋"/>
          <w:bCs/>
          <w:sz w:val="28"/>
          <w:szCs w:val="28"/>
        </w:rPr>
        <w:t>，外文编号：</w:t>
      </w:r>
      <w:r>
        <w:rPr>
          <w:rFonts w:ascii="仿宋" w:hAnsi="仿宋" w:eastAsia="仿宋" w:cs="仿宋"/>
          <w:bCs/>
          <w:sz w:val="28"/>
          <w:szCs w:val="28"/>
        </w:rPr>
        <w:t>W20222621</w:t>
      </w:r>
      <w:r>
        <w:rPr>
          <w:rFonts w:hint="eastAsia" w:ascii="仿宋" w:hAnsi="仿宋" w:eastAsia="仿宋" w:cs="仿宋"/>
          <w:bCs/>
          <w:sz w:val="28"/>
          <w:szCs w:val="28"/>
        </w:rPr>
        <w:t>。</w:t>
      </w:r>
    </w:p>
    <w:p>
      <w:pPr>
        <w:ind w:firstLine="562" w:firstLineChars="200"/>
        <w:rPr>
          <w:rFonts w:ascii="仿宋" w:hAnsi="仿宋" w:eastAsia="仿宋"/>
          <w:b/>
          <w:sz w:val="28"/>
          <w:szCs w:val="28"/>
        </w:rPr>
      </w:pPr>
      <w:r>
        <w:rPr>
          <w:rFonts w:hint="eastAsia" w:ascii="仿宋" w:hAnsi="仿宋" w:eastAsia="仿宋"/>
          <w:b/>
          <w:sz w:val="28"/>
          <w:szCs w:val="28"/>
        </w:rPr>
        <w:t>（二）修订背景</w:t>
      </w:r>
    </w:p>
    <w:p>
      <w:pPr>
        <w:pStyle w:val="24"/>
        <w:widowControl/>
        <w:adjustRightInd w:val="0"/>
        <w:snapToGrid w:val="0"/>
        <w:spacing w:line="360" w:lineRule="auto"/>
        <w:ind w:firstLine="560"/>
        <w:rPr>
          <w:rFonts w:hint="eastAsia" w:ascii="仿宋" w:hAnsi="仿宋" w:eastAsia="仿宋" w:cs="仿宋"/>
          <w:bCs/>
          <w:kern w:val="0"/>
          <w:sz w:val="28"/>
          <w:szCs w:val="28"/>
        </w:rPr>
      </w:pPr>
      <w:r>
        <w:rPr>
          <w:rFonts w:hint="eastAsia" w:ascii="仿宋" w:hAnsi="仿宋" w:eastAsia="仿宋" w:cs="仿宋"/>
          <w:bCs/>
          <w:sz w:val="28"/>
          <w:szCs w:val="28"/>
        </w:rPr>
        <w:t>《低温仓储作业规范》（GB/T 31078-2014）为推荐性国家标准，</w:t>
      </w:r>
      <w:r>
        <w:rPr>
          <w:rFonts w:hint="eastAsia" w:ascii="仿宋" w:hAnsi="仿宋" w:eastAsia="仿宋" w:cs="仿宋"/>
          <w:bCs/>
          <w:kern w:val="0"/>
          <w:sz w:val="28"/>
          <w:szCs w:val="28"/>
        </w:rPr>
        <w:t>是指导低温仓库的仓储作业标准。低温仓储</w:t>
      </w:r>
      <w:bookmarkStart w:id="2" w:name="_GoBack"/>
      <w:bookmarkEnd w:id="2"/>
      <w:r>
        <w:rPr>
          <w:rFonts w:hint="eastAsia" w:ascii="仿宋" w:hAnsi="仿宋" w:eastAsia="仿宋" w:cs="仿宋"/>
          <w:bCs/>
          <w:kern w:val="0"/>
          <w:sz w:val="28"/>
          <w:szCs w:val="28"/>
        </w:rPr>
        <w:t>的作业规范对确保低温物品品质至关重要，科学、合理、高效的作业流程、操作及规范，可大程度减少低温物品在存储环节发生质量问题的重要保障。</w:t>
      </w:r>
    </w:p>
    <w:p>
      <w:pPr>
        <w:pStyle w:val="24"/>
        <w:widowControl/>
        <w:adjustRightInd w:val="0"/>
        <w:snapToGrid w:val="0"/>
        <w:spacing w:line="360" w:lineRule="auto"/>
        <w:ind w:firstLine="560"/>
        <w:rPr>
          <w:rFonts w:hint="eastAsia" w:ascii="仿宋" w:hAnsi="仿宋" w:eastAsia="仿宋" w:cs="仿宋"/>
          <w:bCs/>
          <w:kern w:val="0"/>
          <w:sz w:val="28"/>
          <w:szCs w:val="28"/>
        </w:rPr>
      </w:pPr>
      <w:r>
        <w:rPr>
          <w:rFonts w:hint="eastAsia" w:ascii="仿宋" w:hAnsi="仿宋" w:eastAsia="仿宋" w:cs="仿宋"/>
          <w:bCs/>
          <w:kern w:val="0"/>
          <w:sz w:val="28"/>
          <w:szCs w:val="28"/>
        </w:rPr>
        <w:t>本标准的制定旨在为企业建立规范的低温仓储作业体系提供依据，引导企业开展自我考核和行业对标，提升仓储作业运营水平，助力企业自身持续优化升级，协助行业增效降本，提升低温物品安全，促进消费升级，推动冷链物流实现高质量发展。</w:t>
      </w:r>
    </w:p>
    <w:p>
      <w:pPr>
        <w:pStyle w:val="24"/>
        <w:widowControl/>
        <w:adjustRightInd w:val="0"/>
        <w:snapToGrid w:val="0"/>
        <w:spacing w:line="360" w:lineRule="auto"/>
        <w:ind w:firstLine="560"/>
        <w:rPr>
          <w:rFonts w:hint="eastAsia" w:ascii="仿宋" w:hAnsi="仿宋" w:eastAsia="仿宋" w:cs="仿宋"/>
          <w:bCs/>
          <w:kern w:val="0"/>
          <w:sz w:val="28"/>
          <w:szCs w:val="28"/>
        </w:rPr>
      </w:pPr>
      <w:r>
        <w:rPr>
          <w:rFonts w:hint="eastAsia" w:ascii="仿宋" w:hAnsi="仿宋" w:eastAsia="仿宋" w:cs="仿宋"/>
          <w:bCs/>
          <w:kern w:val="0"/>
          <w:sz w:val="28"/>
          <w:szCs w:val="28"/>
        </w:rPr>
        <w:t>标准自2015年7月1日实施以来，对我国低温仓储企业在提高企业运营效率，规范低温仓库作业起到了积极作用。近年来，随着低温仓储业态模式的不断创新，对低温仓储作业要求越来越高，从服务客户角度，要求订单需求响应速度越来越快、服务质量越来越高；从内部管理角度，要求运营效率越高约高、成本越来越低，而这些都需要通过提升优化仓储作业实现。原标准已不能满足目前行业要求，主要体现在以下几个方面：</w:t>
      </w:r>
    </w:p>
    <w:p>
      <w:pPr>
        <w:pStyle w:val="24"/>
        <w:widowControl/>
        <w:adjustRightInd w:val="0"/>
        <w:snapToGrid w:val="0"/>
        <w:spacing w:line="360" w:lineRule="auto"/>
        <w:ind w:firstLine="560"/>
        <w:rPr>
          <w:rFonts w:hint="eastAsia" w:ascii="仿宋" w:hAnsi="仿宋" w:eastAsia="仿宋" w:cs="仿宋"/>
          <w:bCs/>
          <w:kern w:val="0"/>
          <w:sz w:val="28"/>
          <w:szCs w:val="28"/>
        </w:rPr>
      </w:pPr>
      <w:r>
        <w:rPr>
          <w:rFonts w:hint="eastAsia" w:ascii="仿宋" w:hAnsi="仿宋" w:eastAsia="仿宋" w:cs="仿宋"/>
          <w:bCs/>
          <w:kern w:val="0"/>
          <w:sz w:val="28"/>
          <w:szCs w:val="28"/>
        </w:rPr>
        <w:t>1、国家政策推动：</w:t>
      </w:r>
    </w:p>
    <w:p>
      <w:pPr>
        <w:pStyle w:val="24"/>
        <w:widowControl/>
        <w:adjustRightInd w:val="0"/>
        <w:snapToGrid w:val="0"/>
        <w:spacing w:line="360" w:lineRule="auto"/>
        <w:ind w:firstLine="560"/>
        <w:rPr>
          <w:rFonts w:hint="eastAsia" w:ascii="仿宋" w:hAnsi="仿宋" w:eastAsia="仿宋" w:cs="仿宋"/>
          <w:bCs/>
          <w:kern w:val="0"/>
          <w:sz w:val="28"/>
          <w:szCs w:val="28"/>
        </w:rPr>
      </w:pPr>
      <w:r>
        <w:rPr>
          <w:rFonts w:hint="eastAsia" w:ascii="仿宋" w:hAnsi="仿宋" w:eastAsia="仿宋" w:cs="仿宋"/>
          <w:bCs/>
          <w:kern w:val="0"/>
          <w:sz w:val="28"/>
          <w:szCs w:val="28"/>
        </w:rPr>
        <w:t>2021年12月国务院办公厅发布《十四五冷链物流发展规划》（以下简称《规划》）。《规划》强调：推动冷链物流高质量发展，是减少农产品产后损失和食品流通浪费，扩大高品质市场供给，更好满足人民日益增长美好生活需要的重要手段；是支撑农业规模化产业化发展，促进农业转型和农民增收，助力乡村振兴的重要基础；是满足城乡居民个性化、品质化、差异化消费需求，推动消费升级和培育新增长点，深入实施扩大内需战略和促进形成强大国内市场的重要途径；是健全“从农田到餐桌、从枝头到舌尖”的生鲜农产品质量安全体系，是支撑实施食品安全战略和建设健康中国的重要保障。</w:t>
      </w:r>
    </w:p>
    <w:p>
      <w:pPr>
        <w:pStyle w:val="24"/>
        <w:widowControl/>
        <w:adjustRightInd w:val="0"/>
        <w:snapToGrid w:val="0"/>
        <w:spacing w:line="360" w:lineRule="auto"/>
        <w:ind w:firstLine="560"/>
        <w:rPr>
          <w:rFonts w:hint="eastAsia" w:ascii="仿宋" w:hAnsi="仿宋" w:eastAsia="仿宋" w:cs="仿宋"/>
          <w:bCs/>
          <w:kern w:val="0"/>
          <w:sz w:val="28"/>
          <w:szCs w:val="28"/>
        </w:rPr>
      </w:pPr>
      <w:r>
        <w:rPr>
          <w:rFonts w:hint="eastAsia" w:ascii="仿宋" w:hAnsi="仿宋" w:eastAsia="仿宋" w:cs="仿宋"/>
          <w:bCs/>
          <w:kern w:val="0"/>
          <w:sz w:val="28"/>
          <w:szCs w:val="28"/>
        </w:rPr>
        <w:t>随后各部委、各级政府对《规划》的解读与落地政策持续跟进，强调加大从产地到销地冷链设施基础建设、对相应冷链产品提质增效降本，建立多级冷链物流网络体系，推动冷链物流全品类、全链条服务保障水平，减少冷链流通损耗，加强多品类冷链物流质量控制。</w:t>
      </w:r>
    </w:p>
    <w:p>
      <w:pPr>
        <w:pStyle w:val="24"/>
        <w:widowControl/>
        <w:adjustRightInd w:val="0"/>
        <w:snapToGrid w:val="0"/>
        <w:spacing w:line="360" w:lineRule="auto"/>
        <w:ind w:firstLine="560"/>
        <w:rPr>
          <w:rFonts w:hint="eastAsia" w:ascii="仿宋" w:hAnsi="仿宋" w:eastAsia="仿宋" w:cs="仿宋"/>
          <w:bCs/>
          <w:kern w:val="0"/>
          <w:sz w:val="28"/>
          <w:szCs w:val="28"/>
        </w:rPr>
      </w:pPr>
      <w:r>
        <w:rPr>
          <w:rFonts w:hint="eastAsia" w:ascii="仿宋" w:hAnsi="仿宋" w:eastAsia="仿宋" w:cs="仿宋"/>
          <w:bCs/>
          <w:kern w:val="0"/>
          <w:sz w:val="28"/>
          <w:szCs w:val="28"/>
        </w:rPr>
        <w:t>《规划》以及相应部委政策，对冷链物流“流通加工”“安全”“追溯”等重点功能进行了阐述，同时物流自动化、信息化程度的提高，标准化载具的使用，国家双碳战略等日益凸显。相关政策的出台对冷链行业的发展提出了更高的要求，对低温仓储作业也提出了更高的要求。</w:t>
      </w:r>
    </w:p>
    <w:p>
      <w:pPr>
        <w:pStyle w:val="24"/>
        <w:widowControl/>
        <w:adjustRightInd w:val="0"/>
        <w:snapToGrid w:val="0"/>
        <w:spacing w:line="360" w:lineRule="auto"/>
        <w:ind w:firstLine="560"/>
        <w:rPr>
          <w:rFonts w:hint="eastAsia" w:ascii="仿宋" w:hAnsi="仿宋" w:eastAsia="仿宋" w:cs="仿宋"/>
          <w:bCs/>
          <w:kern w:val="0"/>
          <w:sz w:val="28"/>
          <w:szCs w:val="28"/>
        </w:rPr>
      </w:pPr>
      <w:r>
        <w:rPr>
          <w:rFonts w:hint="eastAsia" w:ascii="仿宋" w:hAnsi="仿宋" w:eastAsia="仿宋" w:cs="仿宋"/>
          <w:bCs/>
          <w:kern w:val="0"/>
          <w:sz w:val="28"/>
          <w:szCs w:val="28"/>
        </w:rPr>
        <w:t>2、市场需求</w:t>
      </w:r>
    </w:p>
    <w:p>
      <w:pPr>
        <w:pStyle w:val="24"/>
        <w:widowControl/>
        <w:adjustRightInd w:val="0"/>
        <w:snapToGrid w:val="0"/>
        <w:spacing w:line="360" w:lineRule="auto"/>
        <w:ind w:firstLine="560"/>
        <w:rPr>
          <w:rFonts w:hint="eastAsia" w:ascii="仿宋" w:hAnsi="仿宋" w:eastAsia="仿宋" w:cs="仿宋"/>
          <w:bCs/>
          <w:kern w:val="0"/>
          <w:sz w:val="28"/>
          <w:szCs w:val="28"/>
        </w:rPr>
      </w:pPr>
      <w:r>
        <w:rPr>
          <w:rFonts w:hint="eastAsia" w:ascii="仿宋" w:hAnsi="仿宋" w:eastAsia="仿宋" w:cs="仿宋"/>
          <w:bCs/>
          <w:kern w:val="0"/>
          <w:sz w:val="28"/>
          <w:szCs w:val="28"/>
        </w:rPr>
        <w:t>现在我国进入新发展阶段，肉类、水果、蔬菜、水产品、乳品、速冻食品以及疫苗、生物制剂、药品等冷藏、冷冻产品市场越来越大，据推算，2022年，冷链物流市场规模超过4900亿元，冷库库容近2.18亿立方米，在国家部委、地方政府持续大力支持冷链物流发展的背景下，冷库设施仍保持较高增长速度。（数据来源：中国仓储与配送协会《2023年中国仓储配送行业发展报告》）</w:t>
      </w:r>
    </w:p>
    <w:p>
      <w:pPr>
        <w:pStyle w:val="24"/>
        <w:widowControl/>
        <w:adjustRightInd w:val="0"/>
        <w:snapToGrid w:val="0"/>
        <w:spacing w:line="360" w:lineRule="auto"/>
        <w:ind w:firstLine="560"/>
        <w:rPr>
          <w:rFonts w:ascii="仿宋" w:hAnsi="仿宋" w:eastAsia="仿宋" w:cs="仿宋"/>
          <w:bCs/>
          <w:sz w:val="28"/>
          <w:szCs w:val="28"/>
        </w:rPr>
      </w:pPr>
      <w:r>
        <w:rPr>
          <w:rFonts w:hint="eastAsia" w:ascii="仿宋" w:hAnsi="仿宋" w:eastAsia="仿宋" w:cs="仿宋"/>
          <w:bCs/>
          <w:sz w:val="28"/>
          <w:szCs w:val="28"/>
        </w:rPr>
        <w:t>3、经营模式</w:t>
      </w:r>
    </w:p>
    <w:p>
      <w:pPr>
        <w:pStyle w:val="24"/>
        <w:widowControl/>
        <w:adjustRightInd w:val="0"/>
        <w:snapToGrid w:val="0"/>
        <w:spacing w:line="360" w:lineRule="auto"/>
        <w:ind w:firstLine="560"/>
        <w:rPr>
          <w:rFonts w:ascii="仿宋" w:hAnsi="仿宋" w:eastAsia="仿宋" w:cs="仿宋"/>
          <w:bCs/>
          <w:sz w:val="28"/>
          <w:szCs w:val="28"/>
        </w:rPr>
      </w:pPr>
      <w:r>
        <w:rPr>
          <w:rFonts w:hint="eastAsia" w:ascii="仿宋" w:hAnsi="仿宋" w:eastAsia="仿宋" w:cs="仿宋"/>
          <w:bCs/>
          <w:sz w:val="28"/>
          <w:szCs w:val="28"/>
        </w:rPr>
        <w:t>传统冷链模式逐步发展，冷链快递、冷链共同配送、生鲜电商以及“生鲜电商+冷链宅配”、“中央厨房+食材冷链配送”等新业态新模式日益普及，经营模式的多样化也对低温仓储提出了更高的要求，如随着业务需要，也涉及流通加工、退货等作业。</w:t>
      </w:r>
    </w:p>
    <w:p>
      <w:pPr>
        <w:pStyle w:val="24"/>
        <w:widowControl/>
        <w:adjustRightInd w:val="0"/>
        <w:snapToGrid w:val="0"/>
        <w:spacing w:line="360" w:lineRule="auto"/>
        <w:ind w:firstLine="560"/>
        <w:rPr>
          <w:rFonts w:ascii="仿宋" w:hAnsi="仿宋" w:eastAsia="仿宋" w:cs="仿宋"/>
          <w:bCs/>
          <w:sz w:val="28"/>
          <w:szCs w:val="28"/>
        </w:rPr>
      </w:pPr>
      <w:r>
        <w:rPr>
          <w:rFonts w:hint="eastAsia" w:ascii="仿宋" w:hAnsi="仿宋" w:eastAsia="仿宋" w:cs="仿宋"/>
          <w:bCs/>
          <w:sz w:val="28"/>
          <w:szCs w:val="28"/>
        </w:rPr>
        <w:t>4、软硬件变化</w:t>
      </w:r>
    </w:p>
    <w:p>
      <w:pPr>
        <w:pStyle w:val="24"/>
        <w:widowControl/>
        <w:adjustRightInd w:val="0"/>
        <w:snapToGrid w:val="0"/>
        <w:spacing w:line="360" w:lineRule="auto"/>
        <w:ind w:firstLine="560"/>
        <w:rPr>
          <w:rFonts w:ascii="仿宋" w:hAnsi="仿宋" w:eastAsia="仿宋" w:cs="仿宋"/>
          <w:bCs/>
          <w:sz w:val="28"/>
          <w:szCs w:val="28"/>
        </w:rPr>
      </w:pPr>
      <w:r>
        <w:rPr>
          <w:rFonts w:hint="eastAsia" w:ascii="仿宋" w:hAnsi="仿宋" w:eastAsia="仿宋" w:cs="仿宋"/>
          <w:bCs/>
          <w:sz w:val="28"/>
          <w:szCs w:val="28"/>
        </w:rPr>
        <w:t>随着科技革命和产业变革，大数据、物联网、第五代移动通信（5G）、云计算等新技术快速推广，低温仓储作业环节对温湿度、监控、信息化等要求也越来越高，提高信息实时采集，为实现冷链物流全链条温度可控、过程可视、源头可溯，提升仓储、运输、配送等环节一体化运作和精准管控能力提供了有力支撑。</w:t>
      </w:r>
    </w:p>
    <w:p>
      <w:pPr>
        <w:pStyle w:val="24"/>
        <w:widowControl/>
        <w:adjustRightInd w:val="0"/>
        <w:snapToGrid w:val="0"/>
        <w:spacing w:line="360" w:lineRule="auto"/>
        <w:ind w:firstLine="560"/>
        <w:rPr>
          <w:rFonts w:ascii="仿宋" w:hAnsi="仿宋" w:eastAsia="仿宋" w:cs="仿宋"/>
          <w:bCs/>
          <w:sz w:val="28"/>
          <w:szCs w:val="28"/>
        </w:rPr>
      </w:pPr>
      <w:r>
        <w:rPr>
          <w:rFonts w:hint="eastAsia" w:ascii="仿宋" w:hAnsi="仿宋" w:eastAsia="仿宋" w:cs="仿宋"/>
          <w:bCs/>
          <w:sz w:val="28"/>
          <w:szCs w:val="28"/>
        </w:rPr>
        <w:t>基于上述几点，《低温仓储作业规范》需要根据新的市场环境进行修订。</w:t>
      </w:r>
      <w:r>
        <w:rPr>
          <w:rFonts w:hint="eastAsia" w:ascii="仿宋" w:hAnsi="仿宋" w:eastAsia="仿宋" w:cs="仿宋"/>
          <w:bCs/>
          <w:kern w:val="0"/>
          <w:sz w:val="28"/>
          <w:szCs w:val="28"/>
        </w:rPr>
        <w:t>此次标准修订凝聚了诸多低温仓储企业成熟、有效的</w:t>
      </w:r>
      <w:r>
        <w:rPr>
          <w:rFonts w:hint="eastAsia" w:ascii="仿宋" w:hAnsi="仿宋" w:eastAsia="仿宋" w:cs="仿宋"/>
          <w:bCs/>
          <w:sz w:val="28"/>
          <w:szCs w:val="28"/>
        </w:rPr>
        <w:t>低温</w:t>
      </w:r>
      <w:r>
        <w:rPr>
          <w:rFonts w:hint="eastAsia" w:ascii="仿宋" w:hAnsi="仿宋" w:eastAsia="仿宋" w:cs="仿宋"/>
          <w:bCs/>
          <w:kern w:val="0"/>
          <w:sz w:val="28"/>
          <w:szCs w:val="28"/>
        </w:rPr>
        <w:t>仓储作业经验，将更好地指导低温仓储企业进行仓储作业活动。</w:t>
      </w:r>
    </w:p>
    <w:p>
      <w:pPr>
        <w:pStyle w:val="24"/>
        <w:widowControl/>
        <w:adjustRightInd w:val="0"/>
        <w:snapToGrid w:val="0"/>
        <w:spacing w:line="360" w:lineRule="auto"/>
      </w:pPr>
    </w:p>
    <w:p>
      <w:pPr>
        <w:ind w:firstLine="562" w:firstLineChars="200"/>
        <w:rPr>
          <w:rFonts w:ascii="仿宋" w:hAnsi="仿宋" w:eastAsia="仿宋"/>
          <w:b/>
          <w:sz w:val="28"/>
          <w:szCs w:val="28"/>
        </w:rPr>
      </w:pPr>
      <w:r>
        <w:rPr>
          <w:rFonts w:hint="eastAsia" w:ascii="仿宋" w:hAnsi="仿宋" w:eastAsia="仿宋"/>
          <w:b/>
          <w:sz w:val="28"/>
          <w:szCs w:val="28"/>
        </w:rPr>
        <w:t>（三）起草过程</w:t>
      </w:r>
    </w:p>
    <w:p>
      <w:pPr>
        <w:pStyle w:val="24"/>
        <w:widowControl/>
        <w:adjustRightInd w:val="0"/>
        <w:snapToGrid w:val="0"/>
        <w:spacing w:line="360" w:lineRule="auto"/>
        <w:ind w:firstLine="560"/>
        <w:rPr>
          <w:rFonts w:hint="eastAsia" w:ascii="仿宋" w:hAnsi="仿宋" w:eastAsia="仿宋" w:cs="仿宋"/>
          <w:bCs/>
          <w:sz w:val="28"/>
          <w:szCs w:val="28"/>
        </w:rPr>
      </w:pPr>
      <w:r>
        <w:rPr>
          <w:rFonts w:hint="eastAsia" w:ascii="仿宋" w:hAnsi="仿宋" w:eastAsia="仿宋" w:cs="仿宋"/>
          <w:bCs/>
          <w:sz w:val="28"/>
          <w:szCs w:val="28"/>
        </w:rPr>
        <w:t>1.立项阶段</w:t>
      </w:r>
    </w:p>
    <w:p>
      <w:pPr>
        <w:pStyle w:val="24"/>
        <w:widowControl/>
        <w:adjustRightInd w:val="0"/>
        <w:snapToGrid w:val="0"/>
        <w:spacing w:line="360" w:lineRule="auto"/>
        <w:ind w:firstLine="560"/>
        <w:rPr>
          <w:rFonts w:hint="eastAsia" w:ascii="仿宋" w:hAnsi="仿宋" w:eastAsia="仿宋" w:cs="仿宋"/>
          <w:bCs/>
          <w:sz w:val="28"/>
          <w:szCs w:val="28"/>
        </w:rPr>
      </w:pPr>
      <w:r>
        <w:rPr>
          <w:rFonts w:hint="eastAsia" w:ascii="仿宋" w:hAnsi="仿宋" w:eastAsia="仿宋" w:cs="仿宋"/>
          <w:bCs/>
          <w:sz w:val="28"/>
          <w:szCs w:val="28"/>
        </w:rPr>
        <w:t>2019年5月1日至2019年9月30日期间，全国物流标准化技术委员会物流作业分技术委员会对原标准的实施情况进行了评估。对11家地方行业协会发放了专访问卷，共收到了9家地方行业协会回复；共对30余家有代表性的低温仓储企业进行了问卷调查，共得到25家企业的回复（其中国有企业7家、民营企业17家、外资企业1家），同时根据问卷的统计结果又对部分企业进行了回访；此外，还对全国10家比较成熟低温仓储企业进行了实地调研。对标准的技术内容、标准的实施及推广情况、标准的执行情况、标准的实施效益进行了评估，其中重点对标准的科学性、适用性、先进性及协调性进行了分析。</w:t>
      </w:r>
    </w:p>
    <w:p>
      <w:pPr>
        <w:pStyle w:val="24"/>
        <w:widowControl/>
        <w:adjustRightInd w:val="0"/>
        <w:snapToGrid w:val="0"/>
        <w:spacing w:line="360" w:lineRule="auto"/>
        <w:ind w:firstLine="560"/>
        <w:rPr>
          <w:rFonts w:hint="eastAsia" w:ascii="仿宋" w:hAnsi="仿宋" w:eastAsia="仿宋" w:cs="仿宋"/>
          <w:bCs/>
          <w:sz w:val="28"/>
          <w:szCs w:val="28"/>
        </w:rPr>
      </w:pPr>
      <w:r>
        <w:rPr>
          <w:rFonts w:hint="eastAsia" w:ascii="仿宋" w:hAnsi="仿宋" w:eastAsia="仿宋" w:cs="仿宋"/>
          <w:bCs/>
          <w:sz w:val="28"/>
          <w:szCs w:val="28"/>
        </w:rPr>
        <w:t>评估和分析结果一致认为，原标准已经不能满足目前的冷链市场需求和冷链行业自身的快速发展，亟需对原版的标准内容中的部分内容进行再修订。经对原标准内容的重新梳理， 2022年2月，中国仓协正式提交了修订草案、编制说明、调研报告、建议书等标准修订申报材料。</w:t>
      </w:r>
    </w:p>
    <w:p>
      <w:pPr>
        <w:pStyle w:val="24"/>
        <w:widowControl/>
        <w:adjustRightInd w:val="0"/>
        <w:snapToGrid w:val="0"/>
        <w:spacing w:line="360" w:lineRule="auto"/>
        <w:ind w:firstLine="560"/>
        <w:rPr>
          <w:rFonts w:hint="eastAsia" w:ascii="仿宋" w:hAnsi="仿宋" w:eastAsia="仿宋" w:cs="仿宋"/>
          <w:bCs/>
          <w:sz w:val="28"/>
          <w:szCs w:val="28"/>
        </w:rPr>
      </w:pPr>
      <w:r>
        <w:rPr>
          <w:rFonts w:hint="eastAsia" w:ascii="仿宋" w:hAnsi="仿宋" w:eastAsia="仿宋" w:cs="仿宋"/>
          <w:bCs/>
          <w:sz w:val="28"/>
          <w:szCs w:val="28"/>
        </w:rPr>
        <w:t>2022年12月30日，经国家标准化管理委员会批准，《低温仓储作业规范》被列入国家标准制修订计划，正式批准修订。</w:t>
      </w:r>
    </w:p>
    <w:p>
      <w:pPr>
        <w:pStyle w:val="24"/>
        <w:widowControl/>
        <w:adjustRightInd w:val="0"/>
        <w:snapToGrid w:val="0"/>
        <w:spacing w:line="360" w:lineRule="auto"/>
        <w:ind w:firstLine="560"/>
        <w:rPr>
          <w:rFonts w:hint="eastAsia" w:ascii="仿宋" w:hAnsi="仿宋" w:eastAsia="仿宋" w:cs="仿宋"/>
          <w:bCs/>
          <w:sz w:val="28"/>
          <w:szCs w:val="28"/>
        </w:rPr>
      </w:pPr>
      <w:r>
        <w:rPr>
          <w:rFonts w:hint="eastAsia" w:ascii="仿宋" w:hAnsi="仿宋" w:eastAsia="仿宋" w:cs="仿宋"/>
          <w:bCs/>
          <w:sz w:val="28"/>
          <w:szCs w:val="28"/>
        </w:rPr>
        <w:t>2.起草阶段</w:t>
      </w:r>
    </w:p>
    <w:p>
      <w:pPr>
        <w:pStyle w:val="24"/>
        <w:widowControl/>
        <w:adjustRightInd w:val="0"/>
        <w:snapToGrid w:val="0"/>
        <w:spacing w:line="360" w:lineRule="auto"/>
        <w:ind w:firstLine="560"/>
        <w:rPr>
          <w:rFonts w:hint="eastAsia" w:ascii="仿宋" w:hAnsi="仿宋" w:eastAsia="仿宋" w:cs="仿宋"/>
          <w:bCs/>
          <w:sz w:val="28"/>
          <w:szCs w:val="28"/>
        </w:rPr>
      </w:pPr>
      <w:r>
        <w:rPr>
          <w:rFonts w:hint="eastAsia" w:ascii="仿宋" w:hAnsi="仿宋" w:eastAsia="仿宋" w:cs="仿宋"/>
          <w:bCs/>
          <w:sz w:val="28"/>
          <w:szCs w:val="28"/>
        </w:rPr>
        <w:t>2022年12月接到正式立项通知后，标准牵头起草单位中国仓储与配送协会与原标准起草人立即成立标准起草小组，并在线对标准修订的大体思路和分工进行了讨论，初步确定了标准制修订的分工方式及工作计划。主要起草单位分工如下：</w:t>
      </w:r>
    </w:p>
    <w:p>
      <w:pPr>
        <w:pStyle w:val="24"/>
        <w:widowControl/>
        <w:ind w:firstLine="560"/>
        <w:jc w:val="center"/>
        <w:rPr>
          <w:rFonts w:ascii="仿宋" w:hAnsi="仿宋" w:eastAsia="仿宋" w:cs="仿宋"/>
          <w:bCs/>
          <w:kern w:val="0"/>
          <w:sz w:val="28"/>
          <w:szCs w:val="28"/>
        </w:rPr>
      </w:pPr>
      <w:r>
        <w:rPr>
          <w:rFonts w:hint="eastAsia" w:ascii="仿宋" w:hAnsi="仿宋" w:eastAsia="仿宋" w:cs="仿宋"/>
          <w:bCs/>
          <w:kern w:val="0"/>
          <w:sz w:val="28"/>
          <w:szCs w:val="28"/>
        </w:rPr>
        <w:t>表1主要起草单位工作分工</w:t>
      </w:r>
    </w:p>
    <w:tbl>
      <w:tblPr>
        <w:tblStyle w:val="8"/>
        <w:tblW w:w="8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2772"/>
        <w:gridCol w:w="4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blHeader/>
          <w:jc w:val="center"/>
        </w:trPr>
        <w:tc>
          <w:tcPr>
            <w:tcW w:w="655" w:type="dxa"/>
            <w:vAlign w:val="center"/>
          </w:tcPr>
          <w:p>
            <w:pPr>
              <w:widowControl/>
              <w:spacing w:line="340" w:lineRule="exact"/>
              <w:jc w:val="center"/>
              <w:rPr>
                <w:rFonts w:ascii="仿宋" w:hAnsi="仿宋" w:eastAsia="仿宋" w:cs="宋体"/>
                <w:b/>
                <w:bCs/>
                <w:kern w:val="0"/>
                <w:szCs w:val="21"/>
              </w:rPr>
            </w:pPr>
            <w:r>
              <w:rPr>
                <w:rFonts w:hint="eastAsia" w:ascii="仿宋" w:hAnsi="仿宋" w:eastAsia="仿宋" w:cs="宋体"/>
                <w:b/>
                <w:bCs/>
                <w:kern w:val="0"/>
                <w:szCs w:val="21"/>
              </w:rPr>
              <w:t>序号</w:t>
            </w:r>
          </w:p>
        </w:tc>
        <w:tc>
          <w:tcPr>
            <w:tcW w:w="2772" w:type="dxa"/>
            <w:vAlign w:val="center"/>
          </w:tcPr>
          <w:p>
            <w:pPr>
              <w:widowControl/>
              <w:spacing w:line="340" w:lineRule="exact"/>
              <w:jc w:val="center"/>
              <w:rPr>
                <w:rFonts w:ascii="仿宋" w:hAnsi="仿宋" w:eastAsia="仿宋" w:cs="宋体"/>
                <w:b/>
                <w:bCs/>
                <w:kern w:val="0"/>
                <w:szCs w:val="21"/>
              </w:rPr>
            </w:pPr>
            <w:r>
              <w:rPr>
                <w:rFonts w:hint="eastAsia" w:ascii="仿宋" w:hAnsi="仿宋" w:eastAsia="仿宋" w:cs="宋体"/>
                <w:b/>
                <w:bCs/>
                <w:kern w:val="0"/>
                <w:szCs w:val="21"/>
              </w:rPr>
              <w:t>起草单位</w:t>
            </w:r>
          </w:p>
        </w:tc>
        <w:tc>
          <w:tcPr>
            <w:tcW w:w="4622" w:type="dxa"/>
            <w:vAlign w:val="center"/>
          </w:tcPr>
          <w:p>
            <w:pPr>
              <w:widowControl/>
              <w:spacing w:line="340" w:lineRule="exact"/>
              <w:jc w:val="center"/>
              <w:rPr>
                <w:rFonts w:ascii="仿宋" w:hAnsi="仿宋" w:eastAsia="仿宋" w:cs="宋体"/>
                <w:b/>
                <w:bCs/>
                <w:kern w:val="0"/>
                <w:szCs w:val="21"/>
              </w:rPr>
            </w:pPr>
            <w:r>
              <w:rPr>
                <w:rFonts w:hint="eastAsia" w:ascii="仿宋" w:hAnsi="仿宋" w:eastAsia="仿宋" w:cs="宋体"/>
                <w:b/>
                <w:bCs/>
                <w:kern w:val="0"/>
                <w:szCs w:val="21"/>
              </w:rPr>
              <w:t>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655" w:type="dxa"/>
            <w:vAlign w:val="center"/>
          </w:tcPr>
          <w:p>
            <w:pPr>
              <w:widowControl/>
              <w:spacing w:line="340" w:lineRule="exact"/>
              <w:jc w:val="left"/>
              <w:rPr>
                <w:rFonts w:ascii="仿宋" w:hAnsi="仿宋" w:eastAsia="仿宋" w:cs="宋体"/>
                <w:kern w:val="0"/>
                <w:szCs w:val="21"/>
              </w:rPr>
            </w:pPr>
            <w:r>
              <w:rPr>
                <w:rFonts w:ascii="仿宋" w:hAnsi="仿宋" w:eastAsia="仿宋" w:cs="宋体"/>
                <w:kern w:val="0"/>
                <w:szCs w:val="21"/>
              </w:rPr>
              <w:t>1</w:t>
            </w:r>
          </w:p>
        </w:tc>
        <w:tc>
          <w:tcPr>
            <w:tcW w:w="277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中国仓储与配送协会</w:t>
            </w:r>
          </w:p>
        </w:tc>
        <w:tc>
          <w:tcPr>
            <w:tcW w:w="462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负责标准起草过程中的统筹安排以及标准整体框架，以及前言、范围、术语、基本要求等章节的起草。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655" w:type="dxa"/>
            <w:vAlign w:val="center"/>
          </w:tcPr>
          <w:p>
            <w:pPr>
              <w:widowControl/>
              <w:spacing w:line="340" w:lineRule="exact"/>
              <w:jc w:val="left"/>
              <w:rPr>
                <w:rFonts w:ascii="仿宋" w:hAnsi="仿宋" w:eastAsia="仿宋" w:cs="宋体"/>
                <w:kern w:val="0"/>
                <w:szCs w:val="21"/>
              </w:rPr>
            </w:pPr>
            <w:r>
              <w:rPr>
                <w:rFonts w:ascii="仿宋" w:hAnsi="仿宋" w:eastAsia="仿宋" w:cs="宋体"/>
                <w:kern w:val="0"/>
                <w:szCs w:val="21"/>
              </w:rPr>
              <w:t>2</w:t>
            </w:r>
          </w:p>
        </w:tc>
        <w:tc>
          <w:tcPr>
            <w:tcW w:w="277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上海冷链协会、淄博职业学院、山东商业职业技术学院</w:t>
            </w:r>
          </w:p>
        </w:tc>
        <w:tc>
          <w:tcPr>
            <w:tcW w:w="462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负责《低温仓储作业规范》核心内容的整体架构梳理。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655" w:type="dxa"/>
            <w:vAlign w:val="center"/>
          </w:tcPr>
          <w:p>
            <w:pPr>
              <w:widowControl/>
              <w:spacing w:line="340" w:lineRule="exact"/>
              <w:jc w:val="left"/>
              <w:rPr>
                <w:rFonts w:ascii="仿宋" w:hAnsi="仿宋" w:eastAsia="仿宋" w:cs="宋体"/>
                <w:kern w:val="0"/>
                <w:szCs w:val="21"/>
              </w:rPr>
            </w:pPr>
            <w:r>
              <w:rPr>
                <w:rFonts w:ascii="仿宋" w:hAnsi="仿宋" w:eastAsia="仿宋" w:cs="宋体"/>
                <w:kern w:val="0"/>
                <w:szCs w:val="21"/>
              </w:rPr>
              <w:t>3</w:t>
            </w:r>
          </w:p>
        </w:tc>
        <w:tc>
          <w:tcPr>
            <w:tcW w:w="277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万科物流发展有限公司、深圳市兆航物流有限公司、中国融通房地产集团有限公司、深圳市穗深冷气设备有限公司</w:t>
            </w:r>
          </w:p>
        </w:tc>
        <w:tc>
          <w:tcPr>
            <w:tcW w:w="462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负责收集整理低温仓储作业运营实操端企业的现行的流程及作业要求的收集和梳理，以及作业规范、作业场所、作业人员、环境控制、作业安全等章节的起草。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655" w:type="dxa"/>
            <w:vAlign w:val="center"/>
          </w:tcPr>
          <w:p>
            <w:pPr>
              <w:widowControl/>
              <w:spacing w:line="340" w:lineRule="exact"/>
              <w:jc w:val="left"/>
              <w:rPr>
                <w:rFonts w:ascii="仿宋" w:hAnsi="仿宋" w:eastAsia="仿宋" w:cs="宋体"/>
                <w:kern w:val="0"/>
                <w:szCs w:val="21"/>
              </w:rPr>
            </w:pPr>
            <w:r>
              <w:rPr>
                <w:rFonts w:ascii="仿宋" w:hAnsi="仿宋" w:eastAsia="仿宋" w:cs="宋体"/>
                <w:kern w:val="0"/>
                <w:szCs w:val="21"/>
              </w:rPr>
              <w:t>4</w:t>
            </w:r>
          </w:p>
        </w:tc>
        <w:tc>
          <w:tcPr>
            <w:tcW w:w="277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四川物通科技有限公司</w:t>
            </w:r>
          </w:p>
        </w:tc>
        <w:tc>
          <w:tcPr>
            <w:tcW w:w="462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低温仓储信息系统及信息管理方面的相关内容的起草。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655" w:type="dxa"/>
            <w:vAlign w:val="center"/>
          </w:tcPr>
          <w:p>
            <w:pPr>
              <w:widowControl/>
              <w:spacing w:line="340" w:lineRule="exact"/>
              <w:jc w:val="left"/>
              <w:rPr>
                <w:rFonts w:ascii="仿宋" w:hAnsi="仿宋" w:eastAsia="仿宋" w:cs="宋体"/>
                <w:kern w:val="0"/>
                <w:szCs w:val="21"/>
              </w:rPr>
            </w:pPr>
            <w:r>
              <w:rPr>
                <w:rFonts w:ascii="仿宋" w:hAnsi="仿宋" w:eastAsia="仿宋" w:cs="宋体"/>
                <w:kern w:val="0"/>
                <w:szCs w:val="21"/>
              </w:rPr>
              <w:t>5</w:t>
            </w:r>
          </w:p>
        </w:tc>
        <w:tc>
          <w:tcPr>
            <w:tcW w:w="277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兰剑智能科技股份有限公司</w:t>
            </w:r>
          </w:p>
        </w:tc>
        <w:tc>
          <w:tcPr>
            <w:tcW w:w="4622"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负责冷链物流低温仓储作业设施设备等内容的收集和起草。</w:t>
            </w:r>
          </w:p>
        </w:tc>
      </w:tr>
    </w:tbl>
    <w:p>
      <w:pPr>
        <w:pStyle w:val="24"/>
        <w:widowControl/>
        <w:adjustRightInd w:val="0"/>
        <w:snapToGrid w:val="0"/>
        <w:spacing w:line="360" w:lineRule="auto"/>
        <w:ind w:firstLine="560"/>
        <w:rPr>
          <w:rFonts w:ascii="仿宋" w:hAnsi="仿宋" w:eastAsia="仿宋" w:cs="仿宋"/>
          <w:bCs/>
          <w:kern w:val="0"/>
          <w:sz w:val="28"/>
          <w:szCs w:val="28"/>
        </w:rPr>
      </w:pPr>
      <w:r>
        <w:rPr>
          <w:rFonts w:hint="eastAsia" w:ascii="仿宋" w:hAnsi="仿宋" w:eastAsia="仿宋" w:cs="仿宋"/>
          <w:bCs/>
          <w:kern w:val="0"/>
          <w:sz w:val="28"/>
          <w:szCs w:val="28"/>
        </w:rPr>
        <w:t>20</w:t>
      </w:r>
      <w:r>
        <w:rPr>
          <w:rFonts w:ascii="仿宋" w:hAnsi="仿宋" w:eastAsia="仿宋" w:cs="仿宋"/>
          <w:bCs/>
          <w:kern w:val="0"/>
          <w:sz w:val="28"/>
          <w:szCs w:val="28"/>
        </w:rPr>
        <w:t>23</w:t>
      </w:r>
      <w:r>
        <w:rPr>
          <w:rFonts w:hint="eastAsia" w:ascii="仿宋" w:hAnsi="仿宋" w:eastAsia="仿宋" w:cs="仿宋"/>
          <w:bCs/>
          <w:kern w:val="0"/>
          <w:sz w:val="28"/>
          <w:szCs w:val="28"/>
        </w:rPr>
        <w:t>年1月</w:t>
      </w:r>
      <w:r>
        <w:rPr>
          <w:rFonts w:ascii="仿宋" w:hAnsi="仿宋" w:eastAsia="仿宋" w:cs="仿宋"/>
          <w:bCs/>
          <w:kern w:val="0"/>
          <w:sz w:val="28"/>
          <w:szCs w:val="28"/>
        </w:rPr>
        <w:t>2</w:t>
      </w:r>
      <w:r>
        <w:rPr>
          <w:rFonts w:hint="eastAsia" w:ascii="仿宋" w:hAnsi="仿宋" w:eastAsia="仿宋" w:cs="仿宋"/>
          <w:bCs/>
          <w:kern w:val="0"/>
          <w:sz w:val="28"/>
          <w:szCs w:val="28"/>
        </w:rPr>
        <w:t>月，为确保《低温仓储作业规范》修订的实用性、掌握近十年冷链物流企业</w:t>
      </w:r>
      <w:r>
        <w:rPr>
          <w:rFonts w:hint="eastAsia" w:ascii="仿宋" w:hAnsi="仿宋" w:eastAsia="仿宋" w:cs="Arial"/>
          <w:sz w:val="28"/>
        </w:rPr>
        <w:t>变化</w:t>
      </w:r>
      <w:r>
        <w:rPr>
          <w:rFonts w:hint="eastAsia" w:ascii="仿宋" w:hAnsi="仿宋" w:eastAsia="仿宋" w:cs="仿宋"/>
          <w:bCs/>
          <w:kern w:val="0"/>
          <w:sz w:val="28"/>
          <w:szCs w:val="28"/>
        </w:rPr>
        <w:t>应用情况，中国仓协面向企业对低温仓储作业流程及相应规范开展电话以及现场交流，交流主要内容框架见下表：</w:t>
      </w:r>
    </w:p>
    <w:p>
      <w:pPr>
        <w:pStyle w:val="24"/>
        <w:widowControl/>
        <w:ind w:firstLine="560"/>
        <w:jc w:val="center"/>
        <w:rPr>
          <w:rFonts w:ascii="仿宋" w:hAnsi="仿宋" w:eastAsia="仿宋" w:cs="仿宋"/>
          <w:bCs/>
          <w:kern w:val="0"/>
          <w:sz w:val="28"/>
          <w:szCs w:val="28"/>
        </w:rPr>
      </w:pPr>
      <w:r>
        <w:rPr>
          <w:rFonts w:hint="eastAsia" w:ascii="仿宋" w:hAnsi="仿宋" w:eastAsia="仿宋" w:cs="仿宋"/>
          <w:bCs/>
          <w:kern w:val="0"/>
          <w:sz w:val="28"/>
          <w:szCs w:val="28"/>
        </w:rPr>
        <w:t>表2</w:t>
      </w:r>
      <w:r>
        <w:rPr>
          <w:rFonts w:ascii="仿宋" w:hAnsi="仿宋" w:eastAsia="仿宋" w:cs="仿宋"/>
          <w:bCs/>
          <w:kern w:val="0"/>
          <w:sz w:val="28"/>
          <w:szCs w:val="28"/>
        </w:rPr>
        <w:t xml:space="preserve"> </w:t>
      </w:r>
      <w:r>
        <w:rPr>
          <w:rFonts w:hint="eastAsia" w:ascii="仿宋" w:hAnsi="仿宋" w:eastAsia="仿宋" w:cs="仿宋"/>
          <w:bCs/>
          <w:kern w:val="0"/>
          <w:sz w:val="28"/>
          <w:szCs w:val="28"/>
        </w:rPr>
        <w:t>标准信息调研表</w:t>
      </w:r>
    </w:p>
    <w:tbl>
      <w:tblPr>
        <w:tblStyle w:val="7"/>
        <w:tblW w:w="79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1503"/>
        <w:gridCol w:w="5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blHeader/>
          <w:jc w:val="center"/>
        </w:trPr>
        <w:tc>
          <w:tcPr>
            <w:tcW w:w="577" w:type="dxa"/>
            <w:vAlign w:val="center"/>
          </w:tcPr>
          <w:p>
            <w:pPr>
              <w:tabs>
                <w:tab w:val="left" w:pos="5400"/>
              </w:tabs>
              <w:jc w:val="center"/>
              <w:rPr>
                <w:rFonts w:ascii="仿宋" w:hAnsi="仿宋" w:eastAsia="仿宋"/>
                <w:b/>
                <w:szCs w:val="21"/>
              </w:rPr>
            </w:pPr>
            <w:r>
              <w:rPr>
                <w:rFonts w:hint="eastAsia" w:ascii="仿宋" w:hAnsi="仿宋" w:eastAsia="仿宋"/>
                <w:b/>
                <w:szCs w:val="21"/>
              </w:rPr>
              <w:t>序号</w:t>
            </w:r>
          </w:p>
        </w:tc>
        <w:tc>
          <w:tcPr>
            <w:tcW w:w="1503" w:type="dxa"/>
            <w:vAlign w:val="center"/>
          </w:tcPr>
          <w:p>
            <w:pPr>
              <w:tabs>
                <w:tab w:val="left" w:pos="5400"/>
              </w:tabs>
              <w:jc w:val="center"/>
              <w:rPr>
                <w:rFonts w:ascii="仿宋" w:hAnsi="仿宋" w:eastAsia="仿宋"/>
                <w:b/>
                <w:szCs w:val="21"/>
              </w:rPr>
            </w:pPr>
            <w:r>
              <w:rPr>
                <w:rFonts w:hint="eastAsia" w:ascii="仿宋" w:hAnsi="仿宋" w:eastAsia="仿宋"/>
                <w:b/>
                <w:szCs w:val="21"/>
              </w:rPr>
              <w:t>主要内容</w:t>
            </w:r>
          </w:p>
        </w:tc>
        <w:tc>
          <w:tcPr>
            <w:tcW w:w="5834" w:type="dxa"/>
            <w:vAlign w:val="center"/>
          </w:tcPr>
          <w:p>
            <w:pPr>
              <w:tabs>
                <w:tab w:val="left" w:pos="5400"/>
              </w:tabs>
              <w:jc w:val="center"/>
              <w:rPr>
                <w:rFonts w:ascii="仿宋" w:hAnsi="仿宋" w:eastAsia="仿宋"/>
                <w:b/>
                <w:szCs w:val="21"/>
              </w:rPr>
            </w:pPr>
            <w:r>
              <w:rPr>
                <w:rFonts w:hint="eastAsia" w:ascii="仿宋" w:hAnsi="仿宋" w:eastAsia="仿宋"/>
                <w:b/>
                <w:szCs w:val="21"/>
              </w:rPr>
              <w:t>交流内容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1</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收货作业</w:t>
            </w:r>
          </w:p>
        </w:tc>
        <w:tc>
          <w:tcPr>
            <w:tcW w:w="5834"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收货作业的流程、各环节的先后顺序、低温仓储作业收货过程中部分环节的特点（如封闭式站台卸货、检查车厢内部和低温物品的温度等）及相关要求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2</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在库管理</w:t>
            </w:r>
          </w:p>
        </w:tc>
        <w:tc>
          <w:tcPr>
            <w:tcW w:w="5834"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低温物品在库管理时应考虑的要素（如不同温区的低温物品储存、低温物品的分区管理和盘点等）及相关要求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3</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发货作业</w:t>
            </w:r>
          </w:p>
        </w:tc>
        <w:tc>
          <w:tcPr>
            <w:tcW w:w="5834" w:type="dxa"/>
            <w:vAlign w:val="center"/>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发货作业的流程、各环节的先后顺序、低温仓储作业发货过程中部分环节的特殊性及相关要求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4</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装卸、搬运及堆码</w:t>
            </w:r>
          </w:p>
        </w:tc>
        <w:tc>
          <w:tcPr>
            <w:tcW w:w="5834" w:type="dxa"/>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低温仓储作业全流程涉及到的装卸、搬运及堆码作业时的特点（如集装单元四周间距等）及相关要求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5</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其他作业</w:t>
            </w:r>
          </w:p>
        </w:tc>
        <w:tc>
          <w:tcPr>
            <w:tcW w:w="5834" w:type="dxa"/>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部分低温仓储涉及的其他作业（如流通加工和退货等）及相关要求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6</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作业场所</w:t>
            </w:r>
          </w:p>
        </w:tc>
        <w:tc>
          <w:tcPr>
            <w:tcW w:w="5834" w:type="dxa"/>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低温仓储作业场所的相关要求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7</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作业设备</w:t>
            </w:r>
          </w:p>
        </w:tc>
        <w:tc>
          <w:tcPr>
            <w:tcW w:w="5834" w:type="dxa"/>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按低温仓储业务需求配备的基本设备（如叉车、货架、分级、分拣、切割、包装等）、配套设备（如</w:t>
            </w:r>
            <w:r>
              <w:rPr>
                <w:rFonts w:hint="eastAsia" w:ascii="仿宋" w:hAnsi="仿宋" w:eastAsia="仿宋"/>
                <w:szCs w:val="21"/>
              </w:rPr>
              <w:t>充电桩</w:t>
            </w:r>
            <w:r>
              <w:rPr>
                <w:rFonts w:hint="eastAsia" w:ascii="仿宋" w:hAnsi="仿宋" w:eastAsia="仿宋" w:cs="宋体"/>
                <w:kern w:val="0"/>
                <w:szCs w:val="21"/>
              </w:rPr>
              <w:t>备等）和可循环设备（如</w:t>
            </w:r>
            <w:r>
              <w:rPr>
                <w:rFonts w:hint="eastAsia" w:ascii="仿宋" w:hAnsi="仿宋" w:eastAsia="仿宋"/>
                <w:szCs w:val="21"/>
              </w:rPr>
              <w:t>标准化托盘、周转箱</w:t>
            </w:r>
            <w:r>
              <w:rPr>
                <w:rFonts w:ascii="仿宋" w:hAnsi="仿宋" w:eastAsia="仿宋"/>
                <w:szCs w:val="21"/>
              </w:rPr>
              <w:t>/筐等</w:t>
            </w:r>
            <w:r>
              <w:rPr>
                <w:rFonts w:hint="eastAsia" w:ascii="仿宋" w:hAnsi="仿宋" w:eastAsia="仿宋" w:cs="宋体"/>
                <w:kern w:val="0"/>
                <w:szCs w:val="21"/>
              </w:rPr>
              <w:t>）的通用要求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8</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作业人员</w:t>
            </w:r>
          </w:p>
        </w:tc>
        <w:tc>
          <w:tcPr>
            <w:tcW w:w="5834" w:type="dxa"/>
          </w:tcPr>
          <w:p>
            <w:pPr>
              <w:widowControl/>
              <w:spacing w:line="340" w:lineRule="exact"/>
              <w:jc w:val="left"/>
              <w:rPr>
                <w:rFonts w:ascii="仿宋" w:hAnsi="仿宋" w:eastAsia="仿宋" w:cs="宋体"/>
                <w:kern w:val="0"/>
                <w:szCs w:val="21"/>
              </w:rPr>
            </w:pPr>
            <w:r>
              <w:rPr>
                <w:rFonts w:hint="eastAsia" w:ascii="仿宋" w:hAnsi="仿宋" w:eastAsia="仿宋" w:cs="宋体"/>
                <w:kern w:val="0"/>
                <w:szCs w:val="21"/>
              </w:rPr>
              <w:t>低温仓储作业人员岗位配置、资质、培训、合规操作等方面的相关要求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9</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环境控制</w:t>
            </w:r>
          </w:p>
        </w:tc>
        <w:tc>
          <w:tcPr>
            <w:tcW w:w="5834" w:type="dxa"/>
          </w:tcPr>
          <w:p>
            <w:pPr>
              <w:widowControl/>
              <w:spacing w:line="340" w:lineRule="exact"/>
              <w:jc w:val="left"/>
              <w:rPr>
                <w:rFonts w:ascii="仿宋" w:hAnsi="仿宋" w:eastAsia="仿宋" w:cs="宋体"/>
                <w:kern w:val="0"/>
                <w:szCs w:val="21"/>
              </w:rPr>
            </w:pPr>
            <w:r>
              <w:rPr>
                <w:rFonts w:hint="eastAsia" w:ascii="仿宋" w:hAnsi="仿宋" w:eastAsia="仿宋"/>
                <w:szCs w:val="21"/>
              </w:rPr>
              <w:t>低温仓储作业时对环境的要求，如</w:t>
            </w:r>
            <w:r>
              <w:rPr>
                <w:rFonts w:hint="eastAsia" w:ascii="仿宋" w:hAnsi="仿宋" w:eastAsia="仿宋" w:cs="宋体"/>
                <w:kern w:val="0"/>
                <w:szCs w:val="21"/>
              </w:rPr>
              <w:t>采集点分布、记录、采集频率等情况，是否具备温湿度控制和自动记录功能等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1</w:t>
            </w:r>
            <w:r>
              <w:rPr>
                <w:rFonts w:ascii="仿宋" w:hAnsi="仿宋" w:eastAsia="仿宋"/>
                <w:szCs w:val="21"/>
              </w:rPr>
              <w:t>0</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作业安全</w:t>
            </w:r>
          </w:p>
        </w:tc>
        <w:tc>
          <w:tcPr>
            <w:tcW w:w="5834" w:type="dxa"/>
          </w:tcPr>
          <w:p>
            <w:pPr>
              <w:widowControl/>
              <w:spacing w:line="340" w:lineRule="exact"/>
              <w:jc w:val="left"/>
              <w:rPr>
                <w:rFonts w:ascii="仿宋" w:hAnsi="仿宋" w:eastAsia="仿宋"/>
                <w:szCs w:val="21"/>
              </w:rPr>
            </w:pPr>
            <w:r>
              <w:rPr>
                <w:rFonts w:hint="eastAsia" w:ascii="仿宋" w:hAnsi="仿宋" w:eastAsia="仿宋"/>
                <w:szCs w:val="21"/>
              </w:rPr>
              <w:t>低温仓储作业全流程应考虑的安全要素（如安全管理、安全培训、防护设备、人员安全等）及相关要求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77" w:type="dxa"/>
            <w:vAlign w:val="center"/>
          </w:tcPr>
          <w:p>
            <w:pPr>
              <w:tabs>
                <w:tab w:val="left" w:pos="5400"/>
              </w:tabs>
              <w:spacing w:line="340" w:lineRule="exact"/>
              <w:jc w:val="center"/>
              <w:rPr>
                <w:rFonts w:ascii="仿宋" w:hAnsi="仿宋" w:eastAsia="仿宋"/>
                <w:szCs w:val="21"/>
              </w:rPr>
            </w:pPr>
            <w:r>
              <w:rPr>
                <w:rFonts w:hint="eastAsia" w:ascii="仿宋" w:hAnsi="仿宋" w:eastAsia="仿宋"/>
                <w:szCs w:val="21"/>
              </w:rPr>
              <w:t>1</w:t>
            </w:r>
            <w:r>
              <w:rPr>
                <w:rFonts w:ascii="仿宋" w:hAnsi="仿宋" w:eastAsia="仿宋"/>
                <w:szCs w:val="21"/>
              </w:rPr>
              <w:t>1</w:t>
            </w:r>
          </w:p>
        </w:tc>
        <w:tc>
          <w:tcPr>
            <w:tcW w:w="1503" w:type="dxa"/>
            <w:vAlign w:val="center"/>
          </w:tcPr>
          <w:p>
            <w:pPr>
              <w:tabs>
                <w:tab w:val="left" w:pos="5400"/>
              </w:tabs>
              <w:spacing w:line="340" w:lineRule="exact"/>
              <w:jc w:val="center"/>
              <w:rPr>
                <w:rFonts w:ascii="仿宋" w:hAnsi="仿宋" w:eastAsia="仿宋" w:cs="宋体"/>
                <w:kern w:val="0"/>
                <w:szCs w:val="21"/>
              </w:rPr>
            </w:pPr>
            <w:r>
              <w:rPr>
                <w:rFonts w:hint="eastAsia" w:ascii="仿宋" w:hAnsi="仿宋" w:eastAsia="仿宋" w:cs="宋体"/>
                <w:kern w:val="0"/>
                <w:szCs w:val="21"/>
              </w:rPr>
              <w:t>信息系统及信息管理</w:t>
            </w:r>
          </w:p>
        </w:tc>
        <w:tc>
          <w:tcPr>
            <w:tcW w:w="5834" w:type="dxa"/>
          </w:tcPr>
          <w:p>
            <w:pPr>
              <w:widowControl/>
              <w:spacing w:line="340" w:lineRule="exact"/>
              <w:jc w:val="left"/>
              <w:rPr>
                <w:rFonts w:ascii="仿宋" w:hAnsi="仿宋" w:eastAsia="仿宋"/>
                <w:szCs w:val="21"/>
              </w:rPr>
            </w:pPr>
            <w:r>
              <w:rPr>
                <w:rFonts w:hint="eastAsia" w:ascii="仿宋" w:hAnsi="仿宋" w:eastAsia="仿宋"/>
                <w:szCs w:val="21"/>
              </w:rPr>
              <w:t>低温仓储作业时涉及信息化的系统功能（如入库、出库、运输配送和温控报警等）及相关要求</w:t>
            </w:r>
          </w:p>
        </w:tc>
      </w:tr>
    </w:tbl>
    <w:p>
      <w:pPr>
        <w:pStyle w:val="24"/>
        <w:widowControl/>
        <w:adjustRightInd w:val="0"/>
        <w:snapToGrid w:val="0"/>
        <w:spacing w:line="360" w:lineRule="auto"/>
        <w:ind w:firstLine="560"/>
        <w:rPr>
          <w:rFonts w:ascii="仿宋" w:hAnsi="仿宋" w:eastAsia="仿宋" w:cs="仿宋"/>
          <w:bCs/>
          <w:kern w:val="0"/>
          <w:sz w:val="28"/>
          <w:szCs w:val="28"/>
        </w:rPr>
      </w:pPr>
    </w:p>
    <w:p>
      <w:pPr>
        <w:pStyle w:val="24"/>
        <w:widowControl/>
        <w:adjustRightInd w:val="0"/>
        <w:snapToGrid w:val="0"/>
        <w:spacing w:line="360" w:lineRule="auto"/>
        <w:ind w:firstLine="560"/>
        <w:rPr>
          <w:rFonts w:ascii="仿宋" w:hAnsi="仿宋" w:eastAsia="仿宋" w:cs="仿宋"/>
          <w:bCs/>
          <w:kern w:val="0"/>
          <w:sz w:val="28"/>
          <w:szCs w:val="28"/>
        </w:rPr>
      </w:pPr>
      <w:r>
        <w:rPr>
          <w:rFonts w:hint="eastAsia" w:ascii="仿宋" w:hAnsi="仿宋" w:eastAsia="仿宋" w:cs="仿宋"/>
          <w:bCs/>
          <w:kern w:val="0"/>
          <w:sz w:val="28"/>
          <w:szCs w:val="28"/>
        </w:rPr>
        <w:t>截至20</w:t>
      </w:r>
      <w:r>
        <w:rPr>
          <w:rFonts w:ascii="仿宋" w:hAnsi="仿宋" w:eastAsia="仿宋" w:cs="仿宋"/>
          <w:bCs/>
          <w:kern w:val="0"/>
          <w:sz w:val="28"/>
          <w:szCs w:val="28"/>
        </w:rPr>
        <w:t>23</w:t>
      </w:r>
      <w:r>
        <w:rPr>
          <w:rFonts w:hint="eastAsia" w:ascii="仿宋" w:hAnsi="仿宋" w:eastAsia="仿宋" w:cs="仿宋"/>
          <w:bCs/>
          <w:kern w:val="0"/>
          <w:sz w:val="28"/>
          <w:szCs w:val="28"/>
        </w:rPr>
        <w:t>年</w:t>
      </w:r>
      <w:r>
        <w:rPr>
          <w:rFonts w:ascii="仿宋" w:hAnsi="仿宋" w:eastAsia="仿宋" w:cs="仿宋"/>
          <w:bCs/>
          <w:kern w:val="0"/>
          <w:sz w:val="28"/>
          <w:szCs w:val="28"/>
        </w:rPr>
        <w:t>6</w:t>
      </w:r>
      <w:r>
        <w:rPr>
          <w:rFonts w:hint="eastAsia" w:ascii="仿宋" w:hAnsi="仿宋" w:eastAsia="仿宋" w:cs="仿宋"/>
          <w:bCs/>
          <w:kern w:val="0"/>
          <w:sz w:val="28"/>
          <w:szCs w:val="28"/>
        </w:rPr>
        <w:t>月底，共电话交流</w:t>
      </w:r>
      <w:r>
        <w:rPr>
          <w:rFonts w:ascii="仿宋" w:hAnsi="仿宋" w:eastAsia="仿宋" w:cs="仿宋"/>
          <w:bCs/>
          <w:kern w:val="0"/>
          <w:sz w:val="28"/>
          <w:szCs w:val="28"/>
        </w:rPr>
        <w:t>102</w:t>
      </w:r>
      <w:r>
        <w:rPr>
          <w:rFonts w:hint="eastAsia" w:ascii="仿宋" w:hAnsi="仿宋" w:eastAsia="仿宋" w:cs="仿宋"/>
          <w:bCs/>
          <w:kern w:val="0"/>
          <w:sz w:val="28"/>
          <w:szCs w:val="28"/>
        </w:rPr>
        <w:t>家单位（调研表企业名单见附件</w:t>
      </w:r>
      <w:r>
        <w:rPr>
          <w:rFonts w:ascii="仿宋" w:hAnsi="仿宋" w:eastAsia="仿宋" w:cs="仿宋"/>
          <w:bCs/>
          <w:kern w:val="0"/>
          <w:sz w:val="28"/>
          <w:szCs w:val="28"/>
        </w:rPr>
        <w:t>1</w:t>
      </w:r>
      <w:r>
        <w:rPr>
          <w:rFonts w:hint="eastAsia" w:ascii="仿宋" w:hAnsi="仿宋" w:eastAsia="仿宋" w:cs="仿宋"/>
          <w:bCs/>
          <w:kern w:val="0"/>
          <w:sz w:val="28"/>
          <w:szCs w:val="28"/>
        </w:rPr>
        <w:t>）。</w:t>
      </w:r>
      <w:r>
        <w:rPr>
          <w:rFonts w:ascii="仿宋" w:hAnsi="仿宋" w:eastAsia="仿宋" w:cs="仿宋"/>
          <w:bCs/>
          <w:kern w:val="0"/>
          <w:sz w:val="28"/>
          <w:szCs w:val="28"/>
        </w:rPr>
        <w:t>102</w:t>
      </w:r>
      <w:r>
        <w:rPr>
          <w:rFonts w:hint="eastAsia" w:ascii="仿宋" w:hAnsi="仿宋" w:eastAsia="仿宋" w:cs="仿宋"/>
          <w:bCs/>
          <w:kern w:val="0"/>
          <w:sz w:val="28"/>
          <w:szCs w:val="28"/>
        </w:rPr>
        <w:t>家单位中，地域基本覆盖全国大中型城市，按服务对象划分，第三方冷链企业占</w:t>
      </w:r>
      <w:r>
        <w:rPr>
          <w:rFonts w:ascii="仿宋" w:hAnsi="仿宋" w:eastAsia="仿宋" w:cs="仿宋"/>
          <w:bCs/>
          <w:kern w:val="0"/>
          <w:sz w:val="28"/>
          <w:szCs w:val="28"/>
        </w:rPr>
        <w:t>68.6</w:t>
      </w:r>
      <w:r>
        <w:rPr>
          <w:rFonts w:hint="eastAsia" w:ascii="仿宋" w:hAnsi="仿宋" w:eastAsia="仿宋" w:cs="仿宋"/>
          <w:bCs/>
          <w:kern w:val="0"/>
          <w:sz w:val="28"/>
          <w:szCs w:val="28"/>
        </w:rPr>
        <w:t>%、企业自营冷链企业占</w:t>
      </w:r>
      <w:r>
        <w:rPr>
          <w:rFonts w:ascii="仿宋" w:hAnsi="仿宋" w:eastAsia="仿宋" w:cs="仿宋"/>
          <w:bCs/>
          <w:kern w:val="0"/>
          <w:sz w:val="28"/>
          <w:szCs w:val="28"/>
        </w:rPr>
        <w:t>10.78</w:t>
      </w:r>
      <w:r>
        <w:rPr>
          <w:rFonts w:hint="eastAsia" w:ascii="仿宋" w:hAnsi="仿宋" w:eastAsia="仿宋" w:cs="仿宋"/>
          <w:bCs/>
          <w:kern w:val="0"/>
          <w:sz w:val="28"/>
          <w:szCs w:val="28"/>
        </w:rPr>
        <w:t>%、自营兼第三方仓储企业占</w:t>
      </w:r>
      <w:r>
        <w:rPr>
          <w:rFonts w:ascii="仿宋" w:hAnsi="仿宋" w:eastAsia="仿宋" w:cs="仿宋"/>
          <w:bCs/>
          <w:kern w:val="0"/>
          <w:sz w:val="28"/>
          <w:szCs w:val="28"/>
        </w:rPr>
        <w:t>9.8</w:t>
      </w:r>
      <w:r>
        <w:rPr>
          <w:rFonts w:hint="eastAsia" w:ascii="仿宋" w:hAnsi="仿宋" w:eastAsia="仿宋" w:cs="仿宋"/>
          <w:bCs/>
          <w:kern w:val="0"/>
          <w:sz w:val="28"/>
          <w:szCs w:val="28"/>
        </w:rPr>
        <w:t>%，以及部分冷库自动化、信息化等冷链装备企业，样本结构合理，总体上可以反映企业对《低温仓储作业规范》修订的积极态度。</w:t>
      </w:r>
    </w:p>
    <w:p>
      <w:pPr>
        <w:pStyle w:val="24"/>
        <w:widowControl/>
        <w:adjustRightInd w:val="0"/>
        <w:snapToGrid w:val="0"/>
        <w:spacing w:line="360" w:lineRule="auto"/>
        <w:ind w:firstLine="560"/>
        <w:rPr>
          <w:rFonts w:ascii="仿宋" w:hAnsi="仿宋" w:eastAsia="仿宋" w:cs="仿宋"/>
          <w:bCs/>
          <w:kern w:val="0"/>
          <w:sz w:val="28"/>
          <w:szCs w:val="28"/>
        </w:rPr>
      </w:pPr>
      <w:r>
        <w:rPr>
          <w:rFonts w:hint="eastAsia" w:ascii="仿宋" w:hAnsi="仿宋" w:eastAsia="仿宋" w:cs="仿宋"/>
          <w:bCs/>
          <w:kern w:val="0"/>
          <w:sz w:val="28"/>
          <w:szCs w:val="28"/>
        </w:rPr>
        <w:t>中国仓协及起草单位先后走访了江苏、上海、北京、河南、重庆、山东、海南等地仓配一体化企业、第三方物流企业</w:t>
      </w:r>
      <w:r>
        <w:rPr>
          <w:rFonts w:ascii="仿宋" w:hAnsi="仿宋" w:eastAsia="仿宋" w:cs="仿宋"/>
          <w:bCs/>
          <w:kern w:val="0"/>
          <w:sz w:val="28"/>
          <w:szCs w:val="28"/>
        </w:rPr>
        <w:t>40</w:t>
      </w:r>
      <w:r>
        <w:rPr>
          <w:rFonts w:hint="eastAsia" w:ascii="仿宋" w:hAnsi="仿宋" w:eastAsia="仿宋" w:cs="仿宋"/>
          <w:bCs/>
          <w:kern w:val="0"/>
          <w:sz w:val="28"/>
          <w:szCs w:val="28"/>
        </w:rPr>
        <w:t>余家，企业内部仓储运营中心近</w:t>
      </w:r>
      <w:r>
        <w:rPr>
          <w:rFonts w:ascii="仿宋" w:hAnsi="仿宋" w:eastAsia="仿宋" w:cs="仿宋"/>
          <w:bCs/>
          <w:kern w:val="0"/>
          <w:sz w:val="28"/>
          <w:szCs w:val="28"/>
        </w:rPr>
        <w:t>20个</w:t>
      </w:r>
      <w:r>
        <w:rPr>
          <w:rFonts w:hint="eastAsia" w:ascii="仿宋" w:hAnsi="仿宋" w:eastAsia="仿宋" w:cs="仿宋"/>
          <w:bCs/>
          <w:kern w:val="0"/>
          <w:sz w:val="28"/>
          <w:szCs w:val="28"/>
        </w:rPr>
        <w:t>，与企业面对面交流、沟通并咨询了多家低温储运营咨询机构，调研和咨询内容包括企业的管理模式、仓储作业现状、自动化、信息化适用情况以及与服务客户对低温物品安全认可度等内容。</w:t>
      </w:r>
    </w:p>
    <w:p>
      <w:pPr>
        <w:pStyle w:val="24"/>
        <w:widowControl/>
        <w:adjustRightInd w:val="0"/>
        <w:snapToGrid w:val="0"/>
        <w:spacing w:line="360" w:lineRule="auto"/>
        <w:ind w:firstLine="560"/>
        <w:rPr>
          <w:rFonts w:ascii="仿宋" w:hAnsi="仿宋" w:eastAsia="仿宋" w:cs="仿宋"/>
          <w:bCs/>
          <w:kern w:val="0"/>
          <w:sz w:val="28"/>
          <w:szCs w:val="28"/>
        </w:rPr>
      </w:pPr>
      <w:r>
        <w:rPr>
          <w:rFonts w:hint="eastAsia" w:ascii="仿宋" w:hAnsi="仿宋" w:eastAsia="仿宋" w:cs="仿宋"/>
          <w:bCs/>
          <w:kern w:val="0"/>
          <w:sz w:val="28"/>
          <w:szCs w:val="28"/>
        </w:rPr>
        <w:t>同时，起草组在百度文库、豆丁文档等专业知识数据库中，通过搜索“低温作业”“冷链仓储系统”“冷链自动化”“冷链信息化”“冷链运营”“食品安全”“冷链技术”等关键词，共检索到国内外文献百余篇。</w:t>
      </w:r>
    </w:p>
    <w:p>
      <w:pPr>
        <w:pStyle w:val="24"/>
        <w:widowControl/>
        <w:adjustRightInd w:val="0"/>
        <w:snapToGrid w:val="0"/>
        <w:spacing w:line="360" w:lineRule="auto"/>
        <w:ind w:firstLine="560"/>
        <w:rPr>
          <w:rFonts w:ascii="仿宋" w:hAnsi="仿宋" w:eastAsia="仿宋" w:cs="仿宋"/>
          <w:bCs/>
          <w:kern w:val="0"/>
          <w:sz w:val="28"/>
          <w:szCs w:val="28"/>
        </w:rPr>
      </w:pPr>
      <w:r>
        <w:rPr>
          <w:rFonts w:hint="eastAsia" w:ascii="仿宋" w:hAnsi="仿宋" w:eastAsia="仿宋" w:cs="仿宋"/>
          <w:bCs/>
          <w:kern w:val="0"/>
          <w:sz w:val="28"/>
          <w:szCs w:val="28"/>
        </w:rPr>
        <w:t>202</w:t>
      </w:r>
      <w:r>
        <w:rPr>
          <w:rFonts w:ascii="仿宋" w:hAnsi="仿宋" w:eastAsia="仿宋" w:cs="仿宋"/>
          <w:bCs/>
          <w:kern w:val="0"/>
          <w:sz w:val="28"/>
          <w:szCs w:val="28"/>
        </w:rPr>
        <w:t>3</w:t>
      </w:r>
      <w:r>
        <w:rPr>
          <w:rFonts w:hint="eastAsia" w:ascii="仿宋" w:hAnsi="仿宋" w:eastAsia="仿宋" w:cs="仿宋"/>
          <w:bCs/>
          <w:kern w:val="0"/>
          <w:sz w:val="28"/>
          <w:szCs w:val="28"/>
        </w:rPr>
        <w:t>年</w:t>
      </w:r>
      <w:r>
        <w:rPr>
          <w:rFonts w:ascii="仿宋" w:hAnsi="仿宋" w:eastAsia="仿宋" w:cs="仿宋"/>
          <w:bCs/>
          <w:kern w:val="0"/>
          <w:sz w:val="28"/>
          <w:szCs w:val="28"/>
        </w:rPr>
        <w:t>5</w:t>
      </w:r>
      <w:r>
        <w:rPr>
          <w:rFonts w:hint="eastAsia" w:ascii="仿宋" w:hAnsi="仿宋" w:eastAsia="仿宋" w:cs="仿宋"/>
          <w:bCs/>
          <w:kern w:val="0"/>
          <w:sz w:val="28"/>
          <w:szCs w:val="28"/>
        </w:rPr>
        <w:t>月</w:t>
      </w:r>
      <w:r>
        <w:rPr>
          <w:rFonts w:ascii="仿宋" w:hAnsi="仿宋" w:eastAsia="仿宋" w:cs="仿宋"/>
          <w:bCs/>
          <w:kern w:val="0"/>
          <w:sz w:val="28"/>
          <w:szCs w:val="28"/>
        </w:rPr>
        <w:t>26</w:t>
      </w:r>
      <w:r>
        <w:rPr>
          <w:rFonts w:hint="eastAsia" w:ascii="仿宋" w:hAnsi="仿宋" w:eastAsia="仿宋" w:cs="仿宋"/>
          <w:bCs/>
          <w:kern w:val="0"/>
          <w:sz w:val="28"/>
          <w:szCs w:val="28"/>
        </w:rPr>
        <w:t>日起草小组召开起草小组讨论会，会上起草单位对工作组讨论稿的框架和内容进行了讨论，对标准的整体架构进行了梳理，同时重点对目前围绕信息化、单元化、自动化等现代化低温仓储的作业要求进行了交流。根据会议讨论内容，结合之前多渠道调研成果和咨询意见，起草组对标准进行了进一步修改完善，于</w:t>
      </w:r>
      <w:r>
        <w:rPr>
          <w:rFonts w:ascii="仿宋" w:hAnsi="仿宋" w:eastAsia="仿宋" w:cs="仿宋"/>
          <w:bCs/>
          <w:kern w:val="0"/>
          <w:sz w:val="28"/>
          <w:szCs w:val="28"/>
        </w:rPr>
        <w:t>6</w:t>
      </w:r>
      <w:r>
        <w:rPr>
          <w:rFonts w:hint="eastAsia" w:ascii="仿宋" w:hAnsi="仿宋" w:eastAsia="仿宋" w:cs="仿宋"/>
          <w:bCs/>
          <w:kern w:val="0"/>
          <w:sz w:val="28"/>
          <w:szCs w:val="28"/>
        </w:rPr>
        <w:t>月</w:t>
      </w:r>
      <w:r>
        <w:rPr>
          <w:rFonts w:ascii="仿宋" w:hAnsi="仿宋" w:eastAsia="仿宋" w:cs="仿宋"/>
          <w:bCs/>
          <w:kern w:val="0"/>
          <w:sz w:val="28"/>
          <w:szCs w:val="28"/>
        </w:rPr>
        <w:t>15</w:t>
      </w:r>
      <w:r>
        <w:rPr>
          <w:rFonts w:hint="eastAsia" w:ascii="仿宋" w:hAnsi="仿宋" w:eastAsia="仿宋" w:cs="仿宋"/>
          <w:bCs/>
          <w:kern w:val="0"/>
          <w:sz w:val="28"/>
          <w:szCs w:val="28"/>
        </w:rPr>
        <w:t>日形成了工作组讨论稿。</w:t>
      </w:r>
    </w:p>
    <w:p>
      <w:pPr>
        <w:pStyle w:val="24"/>
        <w:widowControl/>
        <w:adjustRightInd w:val="0"/>
        <w:snapToGrid w:val="0"/>
        <w:spacing w:line="360" w:lineRule="auto"/>
        <w:ind w:firstLine="560"/>
      </w:pPr>
      <w:r>
        <w:rPr>
          <w:rFonts w:ascii="仿宋" w:hAnsi="仿宋" w:eastAsia="仿宋" w:cs="仿宋"/>
          <w:bCs/>
          <w:kern w:val="0"/>
          <w:sz w:val="28"/>
          <w:szCs w:val="28"/>
        </w:rPr>
        <w:t>2023</w:t>
      </w:r>
      <w:r>
        <w:rPr>
          <w:rFonts w:hint="eastAsia" w:ascii="仿宋" w:hAnsi="仿宋" w:eastAsia="仿宋" w:cs="仿宋"/>
          <w:bCs/>
          <w:kern w:val="0"/>
          <w:sz w:val="28"/>
          <w:szCs w:val="28"/>
        </w:rPr>
        <w:t>年</w:t>
      </w:r>
      <w:r>
        <w:rPr>
          <w:rFonts w:ascii="仿宋" w:hAnsi="仿宋" w:eastAsia="仿宋" w:cs="仿宋"/>
          <w:bCs/>
          <w:kern w:val="0"/>
          <w:sz w:val="28"/>
          <w:szCs w:val="28"/>
        </w:rPr>
        <w:t>6</w:t>
      </w:r>
      <w:r>
        <w:rPr>
          <w:rFonts w:hint="eastAsia" w:ascii="仿宋" w:hAnsi="仿宋" w:eastAsia="仿宋" w:cs="仿宋"/>
          <w:bCs/>
          <w:kern w:val="0"/>
          <w:sz w:val="28"/>
          <w:szCs w:val="28"/>
        </w:rPr>
        <w:t>月下旬至</w:t>
      </w:r>
      <w:r>
        <w:rPr>
          <w:rFonts w:ascii="仿宋" w:hAnsi="仿宋" w:eastAsia="仿宋" w:cs="仿宋"/>
          <w:bCs/>
          <w:kern w:val="0"/>
          <w:sz w:val="28"/>
          <w:szCs w:val="28"/>
        </w:rPr>
        <w:t>8</w:t>
      </w:r>
      <w:r>
        <w:rPr>
          <w:rFonts w:hint="eastAsia" w:ascii="仿宋" w:hAnsi="仿宋" w:eastAsia="仿宋" w:cs="仿宋"/>
          <w:bCs/>
          <w:kern w:val="0"/>
          <w:sz w:val="28"/>
          <w:szCs w:val="28"/>
        </w:rPr>
        <w:t>月上旬，中国仓协多次组织小范围的冷链专家研讨会，结合当下低温仓储作业以及行业特点，对本标准的内容进行了逐条讨论，并对部分条款进行了合并、优化，在</w:t>
      </w:r>
      <w:r>
        <w:rPr>
          <w:rFonts w:ascii="仿宋" w:hAnsi="仿宋" w:eastAsia="仿宋" w:cs="仿宋"/>
          <w:bCs/>
          <w:kern w:val="0"/>
          <w:sz w:val="28"/>
          <w:szCs w:val="28"/>
        </w:rPr>
        <w:t>8</w:t>
      </w:r>
      <w:r>
        <w:rPr>
          <w:rFonts w:hint="eastAsia" w:ascii="仿宋" w:hAnsi="仿宋" w:eastAsia="仿宋" w:cs="仿宋"/>
          <w:bCs/>
          <w:kern w:val="0"/>
          <w:sz w:val="28"/>
          <w:szCs w:val="28"/>
        </w:rPr>
        <w:t>月</w:t>
      </w:r>
      <w:r>
        <w:rPr>
          <w:rFonts w:ascii="仿宋" w:hAnsi="仿宋" w:eastAsia="仿宋" w:cs="仿宋"/>
          <w:bCs/>
          <w:kern w:val="0"/>
          <w:sz w:val="28"/>
          <w:szCs w:val="28"/>
        </w:rPr>
        <w:t>8</w:t>
      </w:r>
      <w:r>
        <w:rPr>
          <w:rFonts w:hint="eastAsia" w:ascii="仿宋" w:hAnsi="仿宋" w:eastAsia="仿宋" w:cs="仿宋"/>
          <w:bCs/>
          <w:kern w:val="0"/>
          <w:sz w:val="28"/>
          <w:szCs w:val="28"/>
        </w:rPr>
        <w:t>日形成了征求意见稿初稿，经起草小组内部征求意见并确认后，形成了标准征求意见稿。</w:t>
      </w:r>
    </w:p>
    <w:p>
      <w:pPr>
        <w:ind w:firstLine="643" w:firstLineChars="200"/>
        <w:rPr>
          <w:rFonts w:cs="黑体" w:asciiTheme="minorEastAsia" w:hAnsiTheme="minorEastAsia"/>
          <w:b/>
          <w:bCs/>
          <w:sz w:val="32"/>
          <w:szCs w:val="32"/>
        </w:rPr>
      </w:pPr>
      <w:r>
        <w:rPr>
          <w:rFonts w:hint="eastAsia" w:cs="黑体" w:asciiTheme="minorEastAsia" w:hAnsiTheme="minorEastAsia"/>
          <w:b/>
          <w:bCs/>
          <w:sz w:val="32"/>
          <w:szCs w:val="32"/>
        </w:rPr>
        <w:t>二、编制原则、主要内容及其确定依据</w:t>
      </w:r>
    </w:p>
    <w:p>
      <w:pPr>
        <w:ind w:firstLine="562" w:firstLineChars="200"/>
        <w:rPr>
          <w:rFonts w:ascii="仿宋" w:hAnsi="仿宋" w:eastAsia="仿宋"/>
          <w:b/>
          <w:sz w:val="28"/>
          <w:szCs w:val="28"/>
        </w:rPr>
      </w:pPr>
      <w:r>
        <w:rPr>
          <w:rFonts w:hint="eastAsia" w:ascii="仿宋" w:hAnsi="仿宋" w:eastAsia="仿宋"/>
          <w:b/>
          <w:sz w:val="28"/>
          <w:szCs w:val="28"/>
        </w:rPr>
        <w:t>（一）编制原则</w:t>
      </w:r>
    </w:p>
    <w:p>
      <w:pPr>
        <w:pStyle w:val="24"/>
        <w:widowControl/>
        <w:adjustRightInd w:val="0"/>
        <w:snapToGrid w:val="0"/>
        <w:spacing w:line="360" w:lineRule="auto"/>
        <w:ind w:firstLine="560"/>
        <w:rPr>
          <w:rFonts w:ascii="仿宋" w:hAnsi="仿宋" w:eastAsia="仿宋"/>
          <w:sz w:val="28"/>
        </w:rPr>
      </w:pPr>
      <w:r>
        <w:rPr>
          <w:rFonts w:ascii="仿宋" w:hAnsi="仿宋" w:eastAsia="仿宋"/>
          <w:sz w:val="28"/>
        </w:rPr>
        <w:t>1</w:t>
      </w:r>
      <w:r>
        <w:rPr>
          <w:rFonts w:hint="eastAsia" w:ascii="仿宋" w:hAnsi="仿宋" w:eastAsia="仿宋"/>
          <w:sz w:val="28"/>
        </w:rPr>
        <w:t>.协调性</w:t>
      </w:r>
      <w:r>
        <w:rPr>
          <w:rFonts w:hint="eastAsia" w:ascii="仿宋" w:hAnsi="仿宋" w:eastAsia="仿宋" w:cs="仿宋"/>
          <w:bCs/>
          <w:kern w:val="0"/>
          <w:sz w:val="28"/>
          <w:szCs w:val="28"/>
        </w:rPr>
        <w:t>原则</w:t>
      </w:r>
    </w:p>
    <w:p>
      <w:pPr>
        <w:pStyle w:val="24"/>
        <w:widowControl/>
        <w:adjustRightInd w:val="0"/>
        <w:snapToGrid w:val="0"/>
        <w:spacing w:line="360" w:lineRule="auto"/>
        <w:ind w:firstLine="560"/>
        <w:rPr>
          <w:rFonts w:ascii="仿宋" w:hAnsi="仿宋" w:eastAsia="仿宋" w:cs="仿宋"/>
          <w:bCs/>
          <w:kern w:val="0"/>
          <w:sz w:val="28"/>
          <w:szCs w:val="28"/>
        </w:rPr>
      </w:pPr>
      <w:r>
        <w:rPr>
          <w:rFonts w:hint="eastAsia" w:ascii="仿宋" w:hAnsi="仿宋" w:eastAsia="仿宋" w:cs="仿宋"/>
          <w:bCs/>
          <w:kern w:val="0"/>
          <w:sz w:val="28"/>
          <w:szCs w:val="28"/>
        </w:rPr>
        <w:t>本文件严格按照《GB/T 1.1-2020 标准化工作导则  第1部分：标准化文件的结构和起草规则》编写。在编写时，同样注重标准内容的科学性、实用性，注重与其他相关标准的协调统一性。</w:t>
      </w:r>
    </w:p>
    <w:p>
      <w:pPr>
        <w:pStyle w:val="24"/>
        <w:widowControl/>
        <w:adjustRightInd w:val="0"/>
        <w:snapToGrid w:val="0"/>
        <w:spacing w:line="360" w:lineRule="auto"/>
        <w:ind w:firstLine="560"/>
        <w:rPr>
          <w:rFonts w:ascii="仿宋" w:hAnsi="仿宋" w:eastAsia="仿宋"/>
          <w:sz w:val="28"/>
        </w:rPr>
      </w:pPr>
      <w:r>
        <w:rPr>
          <w:rFonts w:hint="eastAsia" w:ascii="仿宋" w:hAnsi="仿宋" w:eastAsia="仿宋"/>
          <w:sz w:val="28"/>
        </w:rPr>
        <w:t>2.实践性</w:t>
      </w:r>
      <w:r>
        <w:rPr>
          <w:rFonts w:hint="eastAsia" w:ascii="仿宋" w:hAnsi="仿宋" w:eastAsia="仿宋" w:cs="仿宋"/>
          <w:bCs/>
          <w:kern w:val="0"/>
          <w:sz w:val="28"/>
          <w:szCs w:val="28"/>
        </w:rPr>
        <w:t>原则</w:t>
      </w:r>
    </w:p>
    <w:p>
      <w:pPr>
        <w:pStyle w:val="24"/>
        <w:widowControl/>
        <w:adjustRightInd w:val="0"/>
        <w:snapToGrid w:val="0"/>
        <w:spacing w:line="360" w:lineRule="auto"/>
        <w:ind w:firstLine="560"/>
        <w:rPr>
          <w:rFonts w:ascii="仿宋" w:hAnsi="仿宋" w:eastAsia="仿宋"/>
          <w:sz w:val="28"/>
        </w:rPr>
      </w:pPr>
      <w:r>
        <w:rPr>
          <w:rFonts w:hint="eastAsia" w:ascii="仿宋" w:hAnsi="仿宋" w:eastAsia="仿宋"/>
          <w:sz w:val="28"/>
        </w:rPr>
        <w:t>标准在修订的过程中，经过对国内多家低温仓储企业、冷链行业协会等进行调研，充分考虑各类低温仓库、多种冷链业态等仓储作业的特点，确定低温仓储作业的相关要求。</w:t>
      </w:r>
    </w:p>
    <w:p>
      <w:pPr>
        <w:pStyle w:val="24"/>
        <w:widowControl/>
        <w:adjustRightInd w:val="0"/>
        <w:snapToGrid w:val="0"/>
        <w:spacing w:line="360" w:lineRule="auto"/>
        <w:ind w:firstLine="560"/>
        <w:rPr>
          <w:rFonts w:ascii="仿宋" w:hAnsi="仿宋" w:eastAsia="仿宋"/>
          <w:sz w:val="28"/>
        </w:rPr>
      </w:pPr>
      <w:r>
        <w:rPr>
          <w:rFonts w:hint="eastAsia" w:ascii="仿宋" w:hAnsi="仿宋" w:eastAsia="仿宋"/>
          <w:sz w:val="28"/>
        </w:rPr>
        <w:t>3</w:t>
      </w:r>
      <w:r>
        <w:rPr>
          <w:rFonts w:ascii="仿宋" w:hAnsi="仿宋" w:eastAsia="仿宋"/>
          <w:sz w:val="28"/>
        </w:rPr>
        <w:t>.</w:t>
      </w:r>
      <w:r>
        <w:rPr>
          <w:rFonts w:hint="eastAsia" w:ascii="仿宋" w:hAnsi="仿宋" w:eastAsia="仿宋"/>
          <w:sz w:val="28"/>
        </w:rPr>
        <w:t>通用性原则</w:t>
      </w:r>
    </w:p>
    <w:p>
      <w:pPr>
        <w:pStyle w:val="24"/>
        <w:widowControl/>
        <w:adjustRightInd w:val="0"/>
        <w:snapToGrid w:val="0"/>
        <w:spacing w:line="360" w:lineRule="auto"/>
        <w:ind w:firstLine="560"/>
        <w:rPr>
          <w:rFonts w:ascii="仿宋" w:hAnsi="仿宋" w:eastAsia="仿宋"/>
          <w:sz w:val="28"/>
        </w:rPr>
      </w:pPr>
      <w:r>
        <w:rPr>
          <w:rFonts w:hint="eastAsia" w:ascii="仿宋" w:hAnsi="仿宋" w:eastAsia="仿宋"/>
          <w:sz w:val="28"/>
        </w:rPr>
        <w:t>本文件所提出的低温仓储作业规范，是</w:t>
      </w:r>
      <w:r>
        <w:rPr>
          <w:rFonts w:hint="eastAsia" w:ascii="仿宋" w:hAnsi="仿宋" w:eastAsia="仿宋" w:cs="仿宋"/>
          <w:bCs/>
          <w:sz w:val="28"/>
          <w:szCs w:val="28"/>
        </w:rPr>
        <w:t>可普遍适用于不同行业、不同领域和不同地域的低温仓库</w:t>
      </w:r>
      <w:r>
        <w:rPr>
          <w:rFonts w:hint="eastAsia" w:ascii="仿宋" w:hAnsi="仿宋" w:eastAsia="仿宋"/>
          <w:sz w:val="28"/>
        </w:rPr>
        <w:t>。</w:t>
      </w:r>
    </w:p>
    <w:p>
      <w:pPr>
        <w:ind w:firstLine="562" w:firstLineChars="200"/>
        <w:rPr>
          <w:rFonts w:ascii="仿宋" w:hAnsi="仿宋" w:eastAsia="仿宋"/>
          <w:b/>
          <w:sz w:val="32"/>
          <w:szCs w:val="32"/>
        </w:rPr>
      </w:pPr>
      <w:r>
        <w:rPr>
          <w:rFonts w:hint="eastAsia" w:ascii="仿宋" w:hAnsi="仿宋" w:eastAsia="仿宋"/>
          <w:b/>
          <w:sz w:val="28"/>
          <w:szCs w:val="28"/>
        </w:rPr>
        <w:t>（二）主要内容及其确定依据</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1、</w:t>
      </w:r>
      <w:r>
        <w:rPr>
          <w:rFonts w:hint="eastAsia" w:ascii="仿宋" w:hAnsi="仿宋" w:eastAsia="仿宋" w:cs="仿宋"/>
          <w:bCs/>
          <w:kern w:val="0"/>
          <w:sz w:val="28"/>
          <w:szCs w:val="28"/>
        </w:rPr>
        <w:t>范围</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本文件规定了低温仓储作业的基本要求、作业规范、作业场所、作业设备、</w:t>
      </w:r>
      <w:r>
        <w:rPr>
          <w:rFonts w:hint="eastAsia" w:ascii="仿宋" w:hAnsi="仿宋" w:eastAsia="仿宋" w:cs="仿宋"/>
          <w:bCs/>
          <w:kern w:val="0"/>
          <w:sz w:val="28"/>
          <w:szCs w:val="28"/>
        </w:rPr>
        <w:t>作业</w:t>
      </w:r>
      <w:r>
        <w:rPr>
          <w:rFonts w:hint="eastAsia" w:ascii="仿宋" w:hAnsi="仿宋" w:eastAsia="仿宋"/>
          <w:sz w:val="28"/>
          <w:szCs w:val="28"/>
        </w:rPr>
        <w:t>人员、环境控制、作业安全、信息化、评价与改进。</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本文件适用于</w:t>
      </w:r>
      <w:r>
        <w:rPr>
          <w:rFonts w:hint="eastAsia" w:ascii="仿宋" w:hAnsi="仿宋" w:eastAsia="仿宋" w:cs="仿宋"/>
          <w:bCs/>
          <w:kern w:val="0"/>
          <w:sz w:val="28"/>
          <w:szCs w:val="28"/>
        </w:rPr>
        <w:t>低温</w:t>
      </w:r>
      <w:r>
        <w:rPr>
          <w:rFonts w:hint="eastAsia" w:ascii="仿宋" w:hAnsi="仿宋" w:eastAsia="仿宋"/>
          <w:sz w:val="28"/>
          <w:szCs w:val="28"/>
        </w:rPr>
        <w:t>仓库的仓储作业活动。</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2、主要</w:t>
      </w:r>
      <w:r>
        <w:rPr>
          <w:rFonts w:hint="eastAsia" w:ascii="仿宋" w:hAnsi="仿宋" w:eastAsia="仿宋" w:cs="仿宋"/>
          <w:bCs/>
          <w:kern w:val="0"/>
          <w:sz w:val="28"/>
          <w:szCs w:val="28"/>
        </w:rPr>
        <w:t>内容</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第三章给出了</w:t>
      </w:r>
      <w:r>
        <w:rPr>
          <w:rFonts w:hint="eastAsia" w:ascii="仿宋" w:hAnsi="仿宋" w:eastAsia="仿宋" w:cs="仿宋"/>
          <w:bCs/>
          <w:kern w:val="0"/>
          <w:sz w:val="28"/>
          <w:szCs w:val="28"/>
        </w:rPr>
        <w:t>低温</w:t>
      </w:r>
      <w:r>
        <w:rPr>
          <w:rFonts w:hint="eastAsia" w:ascii="仿宋" w:hAnsi="仿宋" w:eastAsia="仿宋"/>
          <w:sz w:val="28"/>
          <w:szCs w:val="28"/>
        </w:rPr>
        <w:t>仓储作业的基本术语与定义。</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第四章给出了对低温仓储作业全过程中应该贯彻并遵守的基本要求。</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五章按照低温仓储作业的顺序，首先按照收货、在库管理、发货三个部分提出了低温仓储作业的相关要求。其中收货环节，按照收货动作的先后顺序，分别从收货预约、收货准备、核单卸货、验收交接、入库上架5个方面提出了要求；在库管理作业由于没有明显的先后顺序，本标准从分区及储位管理、低温物品管理、盘点3个核心内容，对在库管理作业进行了规范；发货环节，按照发货作业的顺序，从发货指令处理、拣货、复核、发货交接4个方面对发货作业提出要求。第五章还同时对各个作业环节共同涉及的装卸、搬运及堆码以及部分低温仓储涉及的其他作业（包括流通加工和退货等）进行了规范。</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第六章对低温仓储作业场所给出了要求，包括作业场所应设置合理分区、标志标线的设置、非作业人员入库登记、库内整洁无杂物及配备防鼠防虫等设备等。</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第七章对低温仓储作业中涉及的设备提出了基本要求，主要从手续合规、有序管理、单元化等方面提出了要求。</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第八章对低温仓储作业的作业人员提出了要求，主要从合理配置、资质齐全、培训</w:t>
      </w:r>
      <w:r>
        <w:rPr>
          <w:rFonts w:hint="eastAsia" w:ascii="仿宋" w:hAnsi="仿宋" w:eastAsia="仿宋" w:cs="仿宋"/>
          <w:bCs/>
          <w:kern w:val="0"/>
          <w:sz w:val="28"/>
          <w:szCs w:val="28"/>
        </w:rPr>
        <w:t>上岗</w:t>
      </w:r>
      <w:r>
        <w:rPr>
          <w:rFonts w:hint="eastAsia" w:ascii="仿宋" w:hAnsi="仿宋" w:eastAsia="仿宋"/>
          <w:sz w:val="28"/>
          <w:szCs w:val="28"/>
        </w:rPr>
        <w:t>、合规操作等方面对作业人员提出了相关要求。</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第九章对低温仓储作业的温度、湿度等作业环境的把控提出了相关要求，分别从环境控制设备、数据监控、场所管理等方面提出了低温仓储作业环境的基本要求。</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第十章对低温仓储作业各环节中所涉及的安全方面的内容提出了要求，包括安全管理、安全培训、防护设备、人员安全等。</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第十一章给出了低温仓储作业信息化方面的相关要求，包括：信息处理、信息追溯、条码管理、数据安全、信息留存、系统接口等内容。</w:t>
      </w:r>
    </w:p>
    <w:p>
      <w:pPr>
        <w:pStyle w:val="24"/>
        <w:widowControl/>
        <w:adjustRightInd w:val="0"/>
        <w:snapToGrid w:val="0"/>
        <w:spacing w:line="360" w:lineRule="auto"/>
        <w:ind w:firstLine="560"/>
        <w:rPr>
          <w:rFonts w:ascii="仿宋" w:hAnsi="仿宋" w:eastAsia="仿宋"/>
          <w:sz w:val="28"/>
          <w:szCs w:val="28"/>
        </w:rPr>
      </w:pPr>
      <w:r>
        <w:rPr>
          <w:rFonts w:hint="eastAsia" w:ascii="仿宋" w:hAnsi="仿宋" w:eastAsia="仿宋"/>
          <w:sz w:val="28"/>
          <w:szCs w:val="28"/>
        </w:rPr>
        <w:t>第十二章给出了低温仓储作业建立评价与改进体系应依据的标准及要求。</w:t>
      </w:r>
    </w:p>
    <w:p>
      <w:pPr>
        <w:ind w:firstLine="562" w:firstLineChars="200"/>
        <w:rPr>
          <w:rFonts w:ascii="仿宋" w:hAnsi="仿宋" w:eastAsia="仿宋"/>
          <w:b/>
          <w:sz w:val="32"/>
          <w:szCs w:val="32"/>
        </w:rPr>
      </w:pPr>
      <w:r>
        <w:rPr>
          <w:rFonts w:hint="eastAsia" w:ascii="仿宋" w:hAnsi="仿宋" w:eastAsia="仿宋"/>
          <w:b/>
          <w:sz w:val="28"/>
          <w:szCs w:val="28"/>
        </w:rPr>
        <w:t>（三）修订前后技术内容对比</w:t>
      </w:r>
    </w:p>
    <w:p>
      <w:pPr>
        <w:pStyle w:val="24"/>
        <w:widowControl/>
        <w:adjustRightInd w:val="0"/>
        <w:snapToGrid w:val="0"/>
        <w:spacing w:line="360" w:lineRule="auto"/>
        <w:ind w:firstLine="560"/>
        <w:rPr>
          <w:rFonts w:ascii="仿宋" w:hAnsi="仿宋" w:eastAsia="仿宋" w:cs="Times New Roman"/>
          <w:kern w:val="0"/>
          <w:sz w:val="28"/>
          <w:szCs w:val="28"/>
        </w:rPr>
      </w:pPr>
      <w:r>
        <w:rPr>
          <w:rFonts w:hint="eastAsia" w:ascii="仿宋" w:hAnsi="仿宋" w:eastAsia="仿宋" w:cs="Times New Roman"/>
          <w:kern w:val="0"/>
          <w:sz w:val="28"/>
          <w:szCs w:val="28"/>
        </w:rPr>
        <w:t>此次修订，调整了标准内容的整体架构，按照作业流程及通用要求两部分对原标准的内容进行</w:t>
      </w:r>
      <w:r>
        <w:rPr>
          <w:rFonts w:hint="eastAsia" w:ascii="仿宋" w:hAnsi="仿宋" w:eastAsia="仿宋"/>
          <w:sz w:val="28"/>
          <w:szCs w:val="28"/>
        </w:rPr>
        <w:t>重新</w:t>
      </w:r>
      <w:r>
        <w:rPr>
          <w:rFonts w:hint="eastAsia" w:ascii="仿宋" w:hAnsi="仿宋" w:eastAsia="仿宋" w:cs="Times New Roman"/>
          <w:kern w:val="0"/>
          <w:sz w:val="28"/>
          <w:szCs w:val="28"/>
        </w:rPr>
        <w:t>切分。核心内容大多都进行了保留，对局部内容进行了补充和完善。</w:t>
      </w:r>
      <w:r>
        <w:rPr>
          <w:rFonts w:hint="eastAsia" w:ascii="仿宋" w:hAnsi="仿宋" w:eastAsia="仿宋"/>
          <w:sz w:val="28"/>
          <w:szCs w:val="28"/>
        </w:rPr>
        <w:t>除条款位置及编辑性调整外，涉及主要技术内容的调整如下：</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984"/>
        <w:gridCol w:w="2268"/>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46" w:type="dxa"/>
          </w:tcPr>
          <w:p>
            <w:pPr>
              <w:jc w:val="center"/>
              <w:rPr>
                <w:rFonts w:ascii="宋体" w:hAnsi="宋体" w:eastAsia="宋体" w:cs="Times New Roman"/>
                <w:b/>
                <w:szCs w:val="21"/>
              </w:rPr>
            </w:pPr>
            <w:r>
              <w:rPr>
                <w:rFonts w:hint="eastAsia" w:ascii="宋体" w:hAnsi="宋体" w:eastAsia="宋体" w:cs="Times New Roman"/>
                <w:b/>
                <w:szCs w:val="21"/>
              </w:rPr>
              <w:t>序号</w:t>
            </w:r>
          </w:p>
        </w:tc>
        <w:tc>
          <w:tcPr>
            <w:tcW w:w="1984" w:type="dxa"/>
          </w:tcPr>
          <w:p>
            <w:pPr>
              <w:jc w:val="center"/>
              <w:rPr>
                <w:rFonts w:ascii="宋体" w:hAnsi="宋体" w:eastAsia="宋体" w:cs="Times New Roman"/>
                <w:b/>
                <w:szCs w:val="21"/>
              </w:rPr>
            </w:pPr>
            <w:r>
              <w:rPr>
                <w:rFonts w:hint="eastAsia" w:ascii="宋体" w:hAnsi="宋体" w:eastAsia="宋体" w:cs="Times New Roman"/>
                <w:b/>
                <w:szCs w:val="21"/>
              </w:rPr>
              <w:t>原标准</w:t>
            </w:r>
          </w:p>
          <w:p>
            <w:pPr>
              <w:jc w:val="center"/>
              <w:rPr>
                <w:rFonts w:ascii="宋体" w:hAnsi="宋体" w:eastAsia="宋体" w:cs="Times New Roman"/>
                <w:b/>
                <w:szCs w:val="21"/>
              </w:rPr>
            </w:pPr>
            <w:r>
              <w:rPr>
                <w:rFonts w:hint="eastAsia" w:ascii="宋体" w:hAnsi="宋体" w:eastAsia="宋体" w:cs="Times New Roman"/>
                <w:b/>
                <w:szCs w:val="21"/>
              </w:rPr>
              <w:t>（原标准编号）</w:t>
            </w:r>
          </w:p>
        </w:tc>
        <w:tc>
          <w:tcPr>
            <w:tcW w:w="2268" w:type="dxa"/>
          </w:tcPr>
          <w:p>
            <w:pPr>
              <w:jc w:val="center"/>
              <w:rPr>
                <w:rFonts w:ascii="宋体" w:hAnsi="宋体" w:eastAsia="宋体" w:cs="Times New Roman"/>
                <w:b/>
                <w:szCs w:val="21"/>
              </w:rPr>
            </w:pPr>
            <w:r>
              <w:rPr>
                <w:rFonts w:hint="eastAsia" w:ascii="宋体" w:hAnsi="宋体" w:eastAsia="宋体" w:cs="Times New Roman"/>
                <w:b/>
                <w:szCs w:val="21"/>
              </w:rPr>
              <w:t>新标准</w:t>
            </w:r>
          </w:p>
          <w:p>
            <w:pPr>
              <w:jc w:val="center"/>
              <w:rPr>
                <w:rFonts w:ascii="宋体" w:hAnsi="宋体" w:eastAsia="宋体" w:cs="Times New Roman"/>
                <w:b/>
                <w:szCs w:val="21"/>
              </w:rPr>
            </w:pPr>
            <w:r>
              <w:rPr>
                <w:rFonts w:hint="eastAsia" w:ascii="宋体" w:hAnsi="宋体" w:eastAsia="宋体" w:cs="Times New Roman"/>
                <w:b/>
                <w:szCs w:val="21"/>
              </w:rPr>
              <w:t>（新标准编号）</w:t>
            </w:r>
          </w:p>
        </w:tc>
        <w:tc>
          <w:tcPr>
            <w:tcW w:w="3198" w:type="dxa"/>
          </w:tcPr>
          <w:p>
            <w:pPr>
              <w:jc w:val="center"/>
              <w:rPr>
                <w:rFonts w:ascii="宋体" w:hAnsi="宋体" w:eastAsia="宋体" w:cs="Times New Roman"/>
                <w:b/>
                <w:szCs w:val="21"/>
              </w:rPr>
            </w:pPr>
            <w:r>
              <w:rPr>
                <w:rFonts w:hint="eastAsia" w:ascii="宋体" w:hAnsi="宋体" w:eastAsia="宋体" w:cs="Times New Roman"/>
                <w:b/>
                <w:szCs w:val="21"/>
              </w:rPr>
              <w:t>修订原因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p>
        </w:tc>
        <w:tc>
          <w:tcPr>
            <w:tcW w:w="1984" w:type="dxa"/>
          </w:tcPr>
          <w:p>
            <w:pPr>
              <w:rPr>
                <w:rFonts w:ascii="宋体" w:hAnsi="宋体" w:eastAsia="宋体" w:cs="Times New Roman"/>
                <w:bCs/>
                <w:szCs w:val="21"/>
              </w:rPr>
            </w:pPr>
            <w:r>
              <w:rPr>
                <w:rFonts w:ascii="宋体" w:hAnsi="宋体" w:eastAsia="宋体" w:cs="Times New Roman"/>
                <w:bCs/>
                <w:szCs w:val="21"/>
              </w:rPr>
              <w:t>1</w:t>
            </w:r>
            <w:r>
              <w:rPr>
                <w:rFonts w:hint="eastAsia" w:ascii="宋体" w:hAnsi="宋体" w:eastAsia="宋体" w:cs="Times New Roman"/>
                <w:bCs/>
                <w:szCs w:val="21"/>
              </w:rPr>
              <w:t>范围</w:t>
            </w:r>
          </w:p>
          <w:p>
            <w:pPr>
              <w:rPr>
                <w:rFonts w:ascii="Times New Roman" w:hAnsi="宋体" w:eastAsia="宋体" w:cs="Times New Roman"/>
                <w:bCs/>
                <w:szCs w:val="21"/>
              </w:rPr>
            </w:pPr>
            <w:r>
              <w:rPr>
                <w:rFonts w:hint="eastAsia" w:ascii="宋体" w:hAnsi="宋体" w:eastAsia="宋体" w:cs="Times New Roman"/>
                <w:bCs/>
                <w:szCs w:val="21"/>
              </w:rPr>
              <w:t>本文件适用于公共低温仓库的仓储作业活动，自营低温仓库的仓储作业活动可参照执行。</w:t>
            </w:r>
          </w:p>
          <w:p>
            <w:pPr>
              <w:rPr>
                <w:rFonts w:ascii="宋体" w:hAnsi="宋体" w:eastAsia="宋体" w:cs="Times New Roman"/>
                <w:bCs/>
                <w:szCs w:val="21"/>
              </w:rPr>
            </w:pPr>
            <w:r>
              <w:rPr>
                <w:rFonts w:hint="eastAsia" w:ascii="宋体" w:hAnsi="宋体" w:eastAsia="宋体" w:cs="Times New Roman"/>
                <w:bCs/>
                <w:szCs w:val="21"/>
              </w:rPr>
              <w:t>本文件不适用于人工调控气体成分的低温仓库、仓储作业自动化的低温仓库、储存危险品或有毒有害物品的低温仓库，以及国家相关部门有特殊要求的低温仓库的仓储作业活动。</w:t>
            </w:r>
          </w:p>
        </w:tc>
        <w:tc>
          <w:tcPr>
            <w:tcW w:w="2268" w:type="dxa"/>
          </w:tcPr>
          <w:p>
            <w:pPr>
              <w:rPr>
                <w:rFonts w:ascii="宋体" w:hAnsi="宋体" w:eastAsia="宋体" w:cs="Times New Roman"/>
                <w:bCs/>
                <w:szCs w:val="21"/>
              </w:rPr>
            </w:pPr>
            <w:r>
              <w:rPr>
                <w:rFonts w:ascii="宋体" w:hAnsi="宋体" w:eastAsia="宋体" w:cs="Times New Roman"/>
                <w:bCs/>
                <w:szCs w:val="21"/>
              </w:rPr>
              <w:t>1范围</w:t>
            </w:r>
          </w:p>
          <w:p>
            <w:pPr>
              <w:rPr>
                <w:rFonts w:ascii="宋体" w:hAnsi="宋体" w:eastAsia="宋体" w:cs="Times New Roman"/>
                <w:bCs/>
                <w:szCs w:val="21"/>
              </w:rPr>
            </w:pPr>
            <w:r>
              <w:rPr>
                <w:rFonts w:hint="eastAsia" w:ascii="宋体" w:hAnsi="宋体" w:eastAsia="宋体" w:cs="Times New Roman"/>
                <w:bCs/>
                <w:szCs w:val="21"/>
              </w:rPr>
              <w:t>本文件适用于低温仓库的仓储作业活动。</w:t>
            </w:r>
          </w:p>
        </w:tc>
        <w:tc>
          <w:tcPr>
            <w:tcW w:w="3198" w:type="dxa"/>
          </w:tcPr>
          <w:p>
            <w:pPr>
              <w:rPr>
                <w:rFonts w:ascii="宋体" w:hAnsi="宋体" w:eastAsia="宋体" w:cs="Times New Roman"/>
                <w:bCs/>
                <w:szCs w:val="21"/>
              </w:rPr>
            </w:pPr>
            <w:r>
              <w:rPr>
                <w:rFonts w:hint="eastAsia" w:ascii="宋体" w:hAnsi="宋体" w:eastAsia="宋体" w:cs="Times New Roman"/>
                <w:bCs/>
                <w:szCs w:val="21"/>
              </w:rPr>
              <w:t>根据行业调研发现，在低温仓储作业的规范上，公共仓储与企业自营仓储没有区别，只是在合同签署、结算方式等经营方式上有一定差异。另外，不适用的情况无法穷尽，此次修订后只给出了适用的情况。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2</w:t>
            </w:r>
          </w:p>
        </w:tc>
        <w:tc>
          <w:tcPr>
            <w:tcW w:w="1984" w:type="dxa"/>
          </w:tcPr>
          <w:p>
            <w:pPr>
              <w:rPr>
                <w:rFonts w:ascii="宋体" w:hAnsi="宋体" w:eastAsia="宋体" w:cs="Times New Roman"/>
                <w:bCs/>
                <w:szCs w:val="21"/>
              </w:rPr>
            </w:pPr>
            <w:r>
              <w:rPr>
                <w:rFonts w:ascii="宋体" w:hAnsi="宋体" w:eastAsia="宋体" w:cs="Times New Roman"/>
                <w:bCs/>
                <w:szCs w:val="21"/>
              </w:rPr>
              <w:t>3.3</w:t>
            </w:r>
            <w:r>
              <w:rPr>
                <w:rFonts w:hint="eastAsia" w:ascii="宋体" w:hAnsi="宋体" w:eastAsia="宋体" w:cs="Times New Roman"/>
                <w:bCs/>
                <w:szCs w:val="21"/>
              </w:rPr>
              <w:t>自营低温仓库、</w:t>
            </w:r>
            <w:r>
              <w:rPr>
                <w:rFonts w:ascii="宋体" w:hAnsi="宋体" w:eastAsia="宋体" w:cs="Times New Roman"/>
                <w:bCs/>
                <w:szCs w:val="21"/>
              </w:rPr>
              <w:t>3.4</w:t>
            </w:r>
            <w:r>
              <w:rPr>
                <w:rFonts w:hint="eastAsia" w:ascii="宋体" w:hAnsi="宋体" w:eastAsia="宋体" w:cs="Times New Roman"/>
                <w:bCs/>
                <w:szCs w:val="21"/>
              </w:rPr>
              <w:t>公共低温仓库</w:t>
            </w:r>
          </w:p>
        </w:tc>
        <w:tc>
          <w:tcPr>
            <w:tcW w:w="2268" w:type="dxa"/>
          </w:tcPr>
          <w:p>
            <w:pPr>
              <w:rPr>
                <w:rFonts w:ascii="宋体" w:hAnsi="宋体" w:eastAsia="宋体" w:cs="Times New Roman"/>
                <w:bCs/>
                <w:szCs w:val="21"/>
              </w:rPr>
            </w:pPr>
            <w:r>
              <w:rPr>
                <w:rFonts w:hint="eastAsia" w:ascii="宋体" w:hAnsi="宋体" w:eastAsia="宋体" w:cs="Times New Roman"/>
                <w:bCs/>
                <w:szCs w:val="21"/>
              </w:rPr>
              <w:t>——</w:t>
            </w:r>
          </w:p>
        </w:tc>
        <w:tc>
          <w:tcPr>
            <w:tcW w:w="3198" w:type="dxa"/>
          </w:tcPr>
          <w:p>
            <w:pPr>
              <w:rPr>
                <w:rFonts w:ascii="宋体" w:hAnsi="宋体" w:eastAsia="宋体" w:cs="Times New Roman"/>
                <w:bCs/>
                <w:szCs w:val="21"/>
              </w:rPr>
            </w:pPr>
            <w:r>
              <w:rPr>
                <w:rFonts w:hint="eastAsia" w:ascii="宋体" w:hAnsi="宋体" w:eastAsia="宋体" w:cs="Times New Roman"/>
                <w:bCs/>
                <w:szCs w:val="21"/>
              </w:rPr>
              <w:t>原标准中区分了公共低温仓储于自营低温仓储，新标准中不再做区分，因此删除。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3</w:t>
            </w:r>
          </w:p>
        </w:tc>
        <w:tc>
          <w:tcPr>
            <w:tcW w:w="1984" w:type="dxa"/>
          </w:tcPr>
          <w:p>
            <w:pPr>
              <w:rPr>
                <w:rFonts w:ascii="宋体" w:hAnsi="宋体" w:eastAsia="宋体" w:cs="Times New Roman"/>
                <w:bCs/>
                <w:szCs w:val="21"/>
              </w:rPr>
            </w:pPr>
            <w:r>
              <w:rPr>
                <w:rFonts w:ascii="宋体" w:hAnsi="宋体" w:eastAsia="宋体" w:cs="Times New Roman"/>
                <w:bCs/>
                <w:szCs w:val="21"/>
              </w:rPr>
              <w:t>3.6</w:t>
            </w:r>
            <w:r>
              <w:rPr>
                <w:rFonts w:hint="eastAsia" w:ascii="宋体" w:hAnsi="宋体" w:eastAsia="宋体" w:cs="Times New Roman"/>
                <w:bCs/>
                <w:szCs w:val="21"/>
              </w:rPr>
              <w:t>低温仓储作业</w:t>
            </w:r>
          </w:p>
        </w:tc>
        <w:tc>
          <w:tcPr>
            <w:tcW w:w="2268" w:type="dxa"/>
          </w:tcPr>
          <w:p>
            <w:pPr>
              <w:rPr>
                <w:rFonts w:ascii="宋体" w:hAnsi="宋体" w:eastAsia="宋体" w:cs="Times New Roman"/>
                <w:bCs/>
                <w:szCs w:val="21"/>
              </w:rPr>
            </w:pPr>
            <w:r>
              <w:rPr>
                <w:rFonts w:hint="eastAsia" w:ascii="宋体" w:hAnsi="宋体" w:eastAsia="宋体" w:cs="Times New Roman"/>
                <w:bCs/>
                <w:szCs w:val="21"/>
              </w:rPr>
              <w:t>——</w:t>
            </w:r>
          </w:p>
        </w:tc>
        <w:tc>
          <w:tcPr>
            <w:tcW w:w="3198" w:type="dxa"/>
          </w:tcPr>
          <w:p>
            <w:pPr>
              <w:rPr>
                <w:rFonts w:ascii="宋体" w:hAnsi="宋体" w:eastAsia="宋体" w:cs="Times New Roman"/>
                <w:bCs/>
                <w:szCs w:val="21"/>
              </w:rPr>
            </w:pPr>
            <w:r>
              <w:rPr>
                <w:rFonts w:hint="eastAsia" w:ascii="宋体" w:hAnsi="宋体" w:eastAsia="宋体" w:cs="Times New Roman"/>
                <w:bCs/>
                <w:szCs w:val="21"/>
              </w:rPr>
              <w:t>标准中对于低温仓储企业即保管人的含义基本不存在歧义，按照</w:t>
            </w:r>
            <w:r>
              <w:rPr>
                <w:rFonts w:ascii="宋体" w:hAnsi="宋体" w:eastAsia="宋体" w:cs="Times New Roman"/>
                <w:bCs/>
                <w:szCs w:val="21"/>
              </w:rPr>
              <w:t>GB/T 1.1</w:t>
            </w:r>
            <w:r>
              <w:rPr>
                <w:rFonts w:hint="eastAsia" w:ascii="宋体" w:hAnsi="宋体" w:eastAsia="宋体" w:cs="Times New Roman"/>
                <w:bCs/>
                <w:szCs w:val="21"/>
              </w:rPr>
              <w:t>的要求，不需要给出定义。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4</w:t>
            </w:r>
          </w:p>
        </w:tc>
        <w:tc>
          <w:tcPr>
            <w:tcW w:w="1984" w:type="dxa"/>
          </w:tcPr>
          <w:p>
            <w:pPr>
              <w:rPr>
                <w:rFonts w:ascii="宋体" w:hAnsi="宋体" w:eastAsia="宋体" w:cs="Times New Roman"/>
                <w:bCs/>
                <w:szCs w:val="21"/>
              </w:rPr>
            </w:pPr>
            <w:r>
              <w:rPr>
                <w:rFonts w:hint="eastAsia" w:ascii="宋体" w:hAnsi="宋体" w:eastAsia="宋体" w:cs="Times New Roman"/>
                <w:bCs/>
                <w:szCs w:val="21"/>
              </w:rPr>
              <w:t>3</w:t>
            </w:r>
            <w:r>
              <w:rPr>
                <w:rFonts w:ascii="宋体" w:hAnsi="宋体" w:eastAsia="宋体" w:cs="Times New Roman"/>
                <w:bCs/>
                <w:szCs w:val="21"/>
              </w:rPr>
              <w:t>.5</w:t>
            </w:r>
            <w:r>
              <w:rPr>
                <w:rFonts w:hint="eastAsia" w:ascii="宋体" w:hAnsi="宋体" w:eastAsia="宋体" w:cs="Times New Roman"/>
                <w:bCs/>
                <w:szCs w:val="21"/>
              </w:rPr>
              <w:t>低温仓储</w:t>
            </w:r>
          </w:p>
        </w:tc>
        <w:tc>
          <w:tcPr>
            <w:tcW w:w="2268" w:type="dxa"/>
          </w:tcPr>
          <w:p>
            <w:pPr>
              <w:rPr>
                <w:rFonts w:ascii="宋体" w:hAnsi="宋体" w:eastAsia="宋体" w:cs="Times New Roman"/>
                <w:bCs/>
                <w:szCs w:val="21"/>
              </w:rPr>
            </w:pPr>
            <w:r>
              <w:rPr>
                <w:rFonts w:hint="eastAsia" w:ascii="宋体" w:hAnsi="宋体" w:eastAsia="宋体" w:cs="Times New Roman"/>
                <w:bCs/>
                <w:szCs w:val="21"/>
              </w:rPr>
              <w:t>3</w:t>
            </w:r>
            <w:r>
              <w:rPr>
                <w:rFonts w:ascii="宋体" w:hAnsi="宋体" w:eastAsia="宋体" w:cs="Times New Roman"/>
                <w:bCs/>
                <w:szCs w:val="21"/>
              </w:rPr>
              <w:t>.3</w:t>
            </w:r>
            <w:r>
              <w:rPr>
                <w:rFonts w:hint="eastAsia" w:ascii="宋体" w:hAnsi="宋体" w:eastAsia="宋体" w:cs="Times New Roman"/>
                <w:bCs/>
                <w:szCs w:val="21"/>
              </w:rPr>
              <w:t>低温仓储</w:t>
            </w:r>
          </w:p>
        </w:tc>
        <w:tc>
          <w:tcPr>
            <w:tcW w:w="3198" w:type="dxa"/>
          </w:tcPr>
          <w:p>
            <w:pPr>
              <w:rPr>
                <w:rFonts w:ascii="宋体" w:hAnsi="宋体" w:eastAsia="宋体" w:cs="Times New Roman"/>
                <w:bCs/>
                <w:szCs w:val="21"/>
              </w:rPr>
            </w:pPr>
            <w:r>
              <w:rPr>
                <w:rFonts w:hint="eastAsia" w:ascii="宋体" w:hAnsi="宋体" w:eastAsia="宋体" w:cs="Times New Roman"/>
                <w:bCs/>
                <w:szCs w:val="21"/>
              </w:rPr>
              <w:t>按照低温仓储作业流程，对低温仓储进行了属于定义。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ascii="宋体" w:hAnsi="宋体" w:eastAsia="宋体" w:cs="Times New Roman"/>
                <w:bCs/>
                <w:szCs w:val="21"/>
              </w:rPr>
              <w:t>5</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3.4</w:t>
            </w:r>
            <w:r>
              <w:rPr>
                <w:rFonts w:hint="eastAsia" w:ascii="宋体" w:hAnsi="宋体" w:eastAsia="宋体" w:cs="Times New Roman"/>
                <w:bCs/>
                <w:szCs w:val="21"/>
              </w:rPr>
              <w:t>流通加工</w:t>
            </w:r>
          </w:p>
        </w:tc>
        <w:tc>
          <w:tcPr>
            <w:tcW w:w="3198" w:type="dxa"/>
          </w:tcPr>
          <w:p>
            <w:pPr>
              <w:rPr>
                <w:rFonts w:ascii="宋体" w:hAnsi="宋体" w:eastAsia="宋体" w:cs="Times New Roman"/>
                <w:bCs/>
                <w:szCs w:val="21"/>
              </w:rPr>
            </w:pPr>
            <w:r>
              <w:rPr>
                <w:rFonts w:hint="eastAsia" w:ascii="宋体" w:hAnsi="宋体" w:eastAsia="宋体" w:cs="Times New Roman"/>
                <w:bCs/>
                <w:szCs w:val="21"/>
              </w:rPr>
              <w:t>国务院《“十四五”冷链物流发展规划》中首先对冷链物流的定义中就有“流通加工”的内容，同时也强调在冷链全链条中大力发展关于“流通加工”样式的模式，鼓励开展农产品集中采购、流通加工、多温共配的模式。本标准中加入术语“流通加工”既符合了国家对冷链政策的规划，同时又体现了对冷链物流低温仓储作业多样化的认可。故增加此术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ascii="宋体" w:hAnsi="宋体" w:eastAsia="宋体" w:cs="Times New Roman"/>
                <w:bCs/>
                <w:szCs w:val="21"/>
              </w:rPr>
              <w:t>6</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4基本</w:t>
            </w:r>
            <w:r>
              <w:rPr>
                <w:rFonts w:hint="eastAsia" w:ascii="宋体" w:hAnsi="宋体" w:eastAsia="宋体" w:cs="Times New Roman"/>
                <w:bCs/>
                <w:szCs w:val="21"/>
              </w:rPr>
              <w:t>要求</w:t>
            </w:r>
          </w:p>
        </w:tc>
        <w:tc>
          <w:tcPr>
            <w:tcW w:w="3198" w:type="dxa"/>
          </w:tcPr>
          <w:p>
            <w:pPr>
              <w:rPr>
                <w:rFonts w:ascii="宋体" w:hAnsi="宋体" w:eastAsia="宋体" w:cs="Times New Roman"/>
                <w:bCs/>
                <w:szCs w:val="21"/>
              </w:rPr>
            </w:pPr>
            <w:r>
              <w:rPr>
                <w:rFonts w:hint="eastAsia" w:ascii="宋体" w:hAnsi="宋体" w:eastAsia="宋体" w:cs="Times New Roman"/>
                <w:bCs/>
                <w:szCs w:val="21"/>
              </w:rPr>
              <w:t>此次修订中，有很多现代化的仓储理念，同时虑到低温仓储作业的场景很多，总结出了有共性的要求作为本章节的基本要求。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ascii="宋体" w:hAnsi="宋体" w:eastAsia="宋体" w:cs="Times New Roman"/>
                <w:bCs/>
                <w:szCs w:val="21"/>
              </w:rPr>
              <w:t>7</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5.1.1</w:t>
            </w:r>
            <w:r>
              <w:rPr>
                <w:rFonts w:hint="eastAsia" w:ascii="宋体" w:hAnsi="宋体" w:eastAsia="宋体" w:cs="Times New Roman"/>
                <w:bCs/>
                <w:szCs w:val="21"/>
              </w:rPr>
              <w:t>收货预约</w:t>
            </w:r>
          </w:p>
        </w:tc>
        <w:tc>
          <w:tcPr>
            <w:tcW w:w="3198" w:type="dxa"/>
          </w:tcPr>
          <w:p>
            <w:pPr>
              <w:rPr>
                <w:rFonts w:ascii="宋体" w:hAnsi="宋体" w:eastAsia="宋体" w:cs="Times New Roman"/>
                <w:bCs/>
                <w:szCs w:val="21"/>
              </w:rPr>
            </w:pPr>
            <w:r>
              <w:rPr>
                <w:rFonts w:hint="eastAsia" w:ascii="宋体" w:hAnsi="宋体" w:eastAsia="宋体" w:cs="Times New Roman"/>
                <w:bCs/>
                <w:szCs w:val="21"/>
              </w:rPr>
              <w:t>随着信息化发展，以及行业对于物流时效性的要求提高，收货预约是提高收货效率的重要环节，原标准在入库准备中有提到，但是按照作业流程和中要求，修订后的标准将收货预约作为一个单独的部分。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ascii="宋体" w:hAnsi="宋体" w:eastAsia="宋体" w:cs="Times New Roman"/>
                <w:bCs/>
                <w:szCs w:val="21"/>
              </w:rPr>
              <w:t>8</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5.1.2</w:t>
            </w:r>
            <w:r>
              <w:rPr>
                <w:rFonts w:hint="eastAsia" w:ascii="宋体" w:hAnsi="宋体" w:eastAsia="宋体" w:cs="Times New Roman"/>
                <w:bCs/>
                <w:szCs w:val="21"/>
              </w:rPr>
              <w:t>收货准备</w:t>
            </w:r>
          </w:p>
        </w:tc>
        <w:tc>
          <w:tcPr>
            <w:tcW w:w="3198" w:type="dxa"/>
          </w:tcPr>
          <w:p>
            <w:pPr>
              <w:rPr>
                <w:rFonts w:ascii="宋体" w:hAnsi="宋体" w:eastAsia="宋体" w:cs="Times New Roman"/>
                <w:bCs/>
                <w:szCs w:val="21"/>
              </w:rPr>
            </w:pPr>
            <w:r>
              <w:rPr>
                <w:rFonts w:hint="eastAsia" w:ascii="宋体" w:hAnsi="宋体" w:eastAsia="宋体" w:cs="Times New Roman"/>
                <w:bCs/>
                <w:szCs w:val="21"/>
              </w:rPr>
              <w:t>此次修订进一步明确了收货准备环节应该提前准备的事项与明确的内容，以便更好的为企业提供指导；同时针对涉及食品的低温仓库，明确提出了检验机构和检验员的要求，强调了涉及食品仓储作业的特殊性。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ascii="宋体" w:hAnsi="宋体" w:eastAsia="宋体" w:cs="Times New Roman"/>
                <w:bCs/>
                <w:szCs w:val="21"/>
              </w:rPr>
              <w:t>9</w:t>
            </w:r>
          </w:p>
        </w:tc>
        <w:tc>
          <w:tcPr>
            <w:tcW w:w="1984" w:type="dxa"/>
          </w:tcPr>
          <w:p>
            <w:pPr>
              <w:rPr>
                <w:rFonts w:ascii="宋体" w:hAnsi="宋体" w:eastAsia="宋体" w:cs="Times New Roman"/>
                <w:bCs/>
                <w:szCs w:val="21"/>
              </w:rPr>
            </w:pPr>
            <w:r>
              <w:rPr>
                <w:rFonts w:ascii="宋体" w:hAnsi="宋体" w:eastAsia="宋体" w:cs="Times New Roman"/>
                <w:bCs/>
                <w:szCs w:val="21"/>
              </w:rPr>
              <w:t>4.3.3</w:t>
            </w:r>
            <w:r>
              <w:rPr>
                <w:rFonts w:hint="eastAsia" w:ascii="宋体" w:hAnsi="宋体" w:eastAsia="宋体" w:cs="Times New Roman"/>
                <w:bCs/>
                <w:szCs w:val="21"/>
              </w:rPr>
              <w:t>低温物品入库宜采用托盘集装化方式。对已经集装化的低温物品要确保符合集装化质量要求，否则应重新采取集装化措施。</w:t>
            </w:r>
          </w:p>
        </w:tc>
        <w:tc>
          <w:tcPr>
            <w:tcW w:w="2268" w:type="dxa"/>
          </w:tcPr>
          <w:p>
            <w:pPr>
              <w:rPr>
                <w:rFonts w:ascii="宋体" w:hAnsi="宋体" w:eastAsia="宋体" w:cs="Times New Roman"/>
                <w:bCs/>
                <w:szCs w:val="21"/>
              </w:rPr>
            </w:pPr>
            <w:r>
              <w:rPr>
                <w:rFonts w:ascii="宋体" w:hAnsi="宋体" w:eastAsia="宋体" w:cs="Times New Roman"/>
                <w:bCs/>
                <w:szCs w:val="21"/>
              </w:rPr>
              <w:t>7.4</w:t>
            </w:r>
            <w:r>
              <w:rPr>
                <w:rFonts w:hint="eastAsia" w:ascii="Times New Roman" w:hAnsi="Times New Roman" w:eastAsia="宋体" w:cs="Times New Roman"/>
              </w:rPr>
              <w:t xml:space="preserve"> </w:t>
            </w:r>
            <w:r>
              <w:rPr>
                <w:rFonts w:hint="eastAsia" w:ascii="宋体" w:hAnsi="宋体" w:eastAsia="宋体" w:cs="Times New Roman"/>
                <w:bCs/>
                <w:szCs w:val="21"/>
              </w:rPr>
              <w:t>各作业环节宜利用标准托盘、周转箱等单元化载具和自动化设备等，托盘尺寸宜采用1200mm×1000mm。</w:t>
            </w:r>
          </w:p>
        </w:tc>
        <w:tc>
          <w:tcPr>
            <w:tcW w:w="3198" w:type="dxa"/>
          </w:tcPr>
          <w:p>
            <w:pPr>
              <w:rPr>
                <w:rFonts w:ascii="宋体" w:hAnsi="宋体" w:eastAsia="宋体" w:cs="Times New Roman"/>
                <w:bCs/>
                <w:szCs w:val="21"/>
              </w:rPr>
            </w:pPr>
            <w:r>
              <w:rPr>
                <w:rFonts w:hint="eastAsia" w:ascii="宋体" w:hAnsi="宋体" w:eastAsia="宋体" w:cs="Times New Roman"/>
                <w:bCs/>
                <w:szCs w:val="21"/>
              </w:rPr>
              <w:t>托盘集装化只是单元化载具的一种，修订后，直接给出了使用标准尺寸的单元化载具的理念，更加全面，并且，本条内容更适合放置第7章作业设施设备中。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ascii="宋体" w:hAnsi="宋体" w:eastAsia="宋体" w:cs="Times New Roman"/>
                <w:bCs/>
                <w:szCs w:val="21"/>
              </w:rPr>
              <w:t>10</w:t>
            </w:r>
          </w:p>
        </w:tc>
        <w:tc>
          <w:tcPr>
            <w:tcW w:w="1984" w:type="dxa"/>
          </w:tcPr>
          <w:p>
            <w:pPr>
              <w:rPr>
                <w:rFonts w:ascii="宋体" w:hAnsi="宋体" w:eastAsia="宋体" w:cs="Times New Roman"/>
                <w:bCs/>
                <w:szCs w:val="21"/>
              </w:rPr>
            </w:pPr>
            <w:r>
              <w:rPr>
                <w:rFonts w:ascii="宋体" w:hAnsi="宋体" w:eastAsia="宋体" w:cs="Times New Roman"/>
                <w:bCs/>
                <w:szCs w:val="21"/>
              </w:rPr>
              <w:t>4.3.4</w:t>
            </w:r>
            <w:r>
              <w:rPr>
                <w:rFonts w:hint="eastAsia" w:ascii="宋体" w:hAnsi="宋体" w:eastAsia="宋体" w:cs="Times New Roman"/>
                <w:bCs/>
                <w:szCs w:val="21"/>
              </w:rPr>
              <w:t>应依照低温物品的标签、特性和生产日期分别进行集装化作业。对相同品名、批号的低温物品宜实行固定数量的集装化作业。</w:t>
            </w:r>
          </w:p>
        </w:tc>
        <w:tc>
          <w:tcPr>
            <w:tcW w:w="2268" w:type="dxa"/>
          </w:tcPr>
          <w:p>
            <w:pPr>
              <w:rPr>
                <w:rFonts w:ascii="宋体" w:hAnsi="宋体" w:eastAsia="宋体" w:cs="Times New Roman"/>
                <w:bCs/>
                <w:szCs w:val="21"/>
              </w:rPr>
            </w:pPr>
            <w:r>
              <w:rPr>
                <w:rFonts w:ascii="宋体" w:hAnsi="宋体" w:eastAsia="宋体" w:cs="Times New Roman"/>
                <w:bCs/>
                <w:szCs w:val="21"/>
              </w:rPr>
              <w:t>5.4.2</w:t>
            </w:r>
            <w:r>
              <w:rPr>
                <w:rFonts w:hint="eastAsia" w:ascii="宋体" w:hAnsi="宋体" w:eastAsia="宋体" w:cs="Times New Roman"/>
                <w:bCs/>
                <w:szCs w:val="21"/>
              </w:rPr>
              <w:t>应按低温物品品类、数量、重量等要素选择合适的搬运方式，宜优先选择机械化或自动化设备进行搬运。</w:t>
            </w:r>
          </w:p>
        </w:tc>
        <w:tc>
          <w:tcPr>
            <w:tcW w:w="3198" w:type="dxa"/>
          </w:tcPr>
          <w:p>
            <w:pPr>
              <w:rPr>
                <w:rFonts w:ascii="宋体" w:hAnsi="宋体" w:eastAsia="宋体" w:cs="Times New Roman"/>
                <w:bCs/>
                <w:szCs w:val="21"/>
              </w:rPr>
            </w:pPr>
            <w:r>
              <w:rPr>
                <w:rFonts w:hint="eastAsia" w:ascii="宋体" w:hAnsi="宋体" w:eastAsia="宋体" w:cs="Times New Roman"/>
                <w:bCs/>
                <w:szCs w:val="21"/>
              </w:rPr>
              <w:t>修订后主要强调了使用机械化和自动化作业的理念，弱化了具体的操作方式，适用性更强更科学。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r>
              <w:rPr>
                <w:rFonts w:ascii="宋体" w:hAnsi="宋体" w:eastAsia="宋体" w:cs="Times New Roman"/>
                <w:bCs/>
                <w:szCs w:val="21"/>
              </w:rPr>
              <w:t>1</w:t>
            </w:r>
          </w:p>
        </w:tc>
        <w:tc>
          <w:tcPr>
            <w:tcW w:w="1984" w:type="dxa"/>
          </w:tcPr>
          <w:p>
            <w:pPr>
              <w:rPr>
                <w:rFonts w:ascii="宋体" w:hAnsi="宋体" w:eastAsia="宋体" w:cs="Times New Roman"/>
                <w:bCs/>
                <w:szCs w:val="21"/>
              </w:rPr>
            </w:pPr>
            <w:r>
              <w:rPr>
                <w:rFonts w:ascii="宋体" w:hAnsi="宋体" w:eastAsia="宋体" w:cs="Times New Roman"/>
                <w:bCs/>
                <w:szCs w:val="21"/>
              </w:rPr>
              <w:t>4.4.1</w:t>
            </w:r>
            <w:r>
              <w:rPr>
                <w:rFonts w:hint="eastAsia" w:ascii="宋体" w:hAnsi="宋体" w:eastAsia="宋体" w:cs="Times New Roman"/>
                <w:bCs/>
                <w:szCs w:val="21"/>
              </w:rPr>
              <w:t>在入库检查、卸货和搬运入库过程中，保管人应逐项核对低温物品信息、储存条件信息等，发现差异应记录并及时联系存货人或承运人确认。</w:t>
            </w:r>
          </w:p>
        </w:tc>
        <w:tc>
          <w:tcPr>
            <w:tcW w:w="2268" w:type="dxa"/>
          </w:tcPr>
          <w:p>
            <w:pPr>
              <w:rPr>
                <w:rFonts w:ascii="宋体" w:hAnsi="宋体" w:eastAsia="宋体" w:cs="Times New Roman"/>
                <w:bCs/>
                <w:szCs w:val="21"/>
              </w:rPr>
            </w:pPr>
            <w:r>
              <w:rPr>
                <w:rFonts w:hint="eastAsia" w:ascii="宋体" w:hAnsi="宋体" w:eastAsia="宋体" w:cs="Times New Roman"/>
                <w:bCs/>
                <w:szCs w:val="21"/>
              </w:rPr>
              <w:t>5.1.4.1验收时，应核对低温物品品名、编码、规格尺寸、数量、生产日期等。</w:t>
            </w:r>
          </w:p>
        </w:tc>
        <w:tc>
          <w:tcPr>
            <w:tcW w:w="3198" w:type="dxa"/>
          </w:tcPr>
          <w:p>
            <w:pPr>
              <w:rPr>
                <w:rFonts w:ascii="宋体" w:hAnsi="宋体" w:eastAsia="宋体" w:cs="Times New Roman"/>
                <w:bCs/>
                <w:szCs w:val="21"/>
              </w:rPr>
            </w:pPr>
            <w:r>
              <w:rPr>
                <w:rFonts w:hint="eastAsia" w:ascii="宋体" w:hAnsi="宋体" w:eastAsia="宋体" w:cs="Times New Roman"/>
                <w:bCs/>
                <w:szCs w:val="21"/>
              </w:rPr>
              <w:t>明确了入库验收动作的具体环节，并给出了入库验收时应与送货人核对的具体内容参考，对企业使用标准更有指导意义。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r>
              <w:rPr>
                <w:rFonts w:ascii="宋体" w:hAnsi="宋体" w:eastAsia="宋体" w:cs="Times New Roman"/>
                <w:bCs/>
                <w:szCs w:val="21"/>
              </w:rPr>
              <w:t>2</w:t>
            </w:r>
          </w:p>
        </w:tc>
        <w:tc>
          <w:tcPr>
            <w:tcW w:w="1984" w:type="dxa"/>
          </w:tcPr>
          <w:p>
            <w:pPr>
              <w:rPr>
                <w:rFonts w:ascii="宋体" w:hAnsi="宋体" w:eastAsia="宋体" w:cs="Times New Roman"/>
                <w:bCs/>
                <w:szCs w:val="21"/>
              </w:rPr>
            </w:pPr>
            <w:r>
              <w:rPr>
                <w:rFonts w:ascii="宋体" w:hAnsi="宋体" w:eastAsia="宋体" w:cs="Times New Roman"/>
                <w:bCs/>
                <w:szCs w:val="21"/>
              </w:rPr>
              <w:t>4.4.2</w:t>
            </w:r>
            <w:r>
              <w:rPr>
                <w:rFonts w:hint="eastAsia" w:ascii="宋体" w:hAnsi="宋体" w:eastAsia="宋体" w:cs="Times New Roman"/>
                <w:bCs/>
                <w:szCs w:val="21"/>
              </w:rPr>
              <w:t>低温物品入库后经确认无误，保管人和存货人（或承运人）应在入库交接记录凭证上签字确认。保管人和存货人有约定的，可由保管人向存货人签发仓单。</w:t>
            </w:r>
          </w:p>
        </w:tc>
        <w:tc>
          <w:tcPr>
            <w:tcW w:w="2268" w:type="dxa"/>
          </w:tcPr>
          <w:p>
            <w:pPr>
              <w:rPr>
                <w:rFonts w:ascii="宋体" w:hAnsi="宋体" w:eastAsia="宋体" w:cs="Times New Roman"/>
                <w:bCs/>
                <w:szCs w:val="21"/>
              </w:rPr>
            </w:pPr>
            <w:r>
              <w:rPr>
                <w:rFonts w:hint="eastAsia" w:ascii="宋体" w:hAnsi="宋体" w:eastAsia="宋体" w:cs="Times New Roman"/>
                <w:bCs/>
                <w:szCs w:val="21"/>
              </w:rPr>
              <w:t>5.1.4.3应按实际验收情况进行交接确认。</w:t>
            </w:r>
          </w:p>
        </w:tc>
        <w:tc>
          <w:tcPr>
            <w:tcW w:w="3198" w:type="dxa"/>
          </w:tcPr>
          <w:p>
            <w:pPr>
              <w:rPr>
                <w:rFonts w:ascii="宋体" w:hAnsi="宋体" w:eastAsia="宋体" w:cs="Times New Roman"/>
                <w:bCs/>
                <w:szCs w:val="21"/>
              </w:rPr>
            </w:pPr>
            <w:r>
              <w:rPr>
                <w:rFonts w:hint="eastAsia" w:ascii="宋体" w:hAnsi="宋体" w:eastAsia="宋体" w:cs="Times New Roman"/>
                <w:bCs/>
                <w:szCs w:val="21"/>
              </w:rPr>
              <w:t>由于目前行业确认信息的方式很多，此次修订，弱化了具体的操作动作，只是强调该环节应该与送货人进行确认，同时要按照实际情况进行验收。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r>
              <w:rPr>
                <w:rFonts w:ascii="宋体" w:hAnsi="宋体" w:eastAsia="宋体" w:cs="Times New Roman"/>
                <w:bCs/>
                <w:szCs w:val="21"/>
              </w:rPr>
              <w:t>3</w:t>
            </w:r>
          </w:p>
        </w:tc>
        <w:tc>
          <w:tcPr>
            <w:tcW w:w="1984" w:type="dxa"/>
          </w:tcPr>
          <w:p>
            <w:pPr>
              <w:rPr>
                <w:rFonts w:ascii="宋体" w:hAnsi="宋体" w:eastAsia="宋体" w:cs="Times New Roman"/>
                <w:bCs/>
                <w:szCs w:val="21"/>
              </w:rPr>
            </w:pPr>
            <w:r>
              <w:rPr>
                <w:rFonts w:ascii="宋体" w:hAnsi="宋体" w:eastAsia="宋体" w:cs="Times New Roman"/>
                <w:bCs/>
                <w:szCs w:val="21"/>
              </w:rPr>
              <w:t>5.2.1</w:t>
            </w:r>
            <w:r>
              <w:rPr>
                <w:rFonts w:hint="eastAsia" w:ascii="宋体" w:hAnsi="宋体" w:eastAsia="宋体" w:cs="Times New Roman"/>
                <w:bCs/>
                <w:szCs w:val="21"/>
              </w:rPr>
              <w:t>保管人应对库存低温物品按批次盘点结清，并进行月度、季度和年度定期盘点。</w:t>
            </w:r>
          </w:p>
        </w:tc>
        <w:tc>
          <w:tcPr>
            <w:tcW w:w="2268" w:type="dxa"/>
          </w:tcPr>
          <w:p>
            <w:pPr>
              <w:rPr>
                <w:rFonts w:ascii="宋体" w:hAnsi="宋体" w:eastAsia="宋体" w:cs="Times New Roman"/>
                <w:bCs/>
                <w:szCs w:val="21"/>
              </w:rPr>
            </w:pPr>
            <w:r>
              <w:rPr>
                <w:rFonts w:hint="eastAsia" w:ascii="宋体" w:hAnsi="宋体" w:eastAsia="宋体" w:cs="Times New Roman"/>
                <w:bCs/>
                <w:szCs w:val="21"/>
              </w:rPr>
              <w:t>5.2.3.1应根据低温物品类别、作业方式及与存货人约定情况确定盘点周期、盘点方式，宜采用动盘和盲盘方式。</w:t>
            </w:r>
          </w:p>
        </w:tc>
        <w:tc>
          <w:tcPr>
            <w:tcW w:w="3198" w:type="dxa"/>
          </w:tcPr>
          <w:p>
            <w:pPr>
              <w:rPr>
                <w:rFonts w:ascii="宋体" w:hAnsi="宋体" w:eastAsia="宋体" w:cs="Times New Roman"/>
                <w:bCs/>
                <w:szCs w:val="21"/>
              </w:rPr>
            </w:pPr>
            <w:r>
              <w:rPr>
                <w:rFonts w:hint="eastAsia" w:ascii="宋体" w:hAnsi="宋体" w:eastAsia="宋体" w:cs="Times New Roman"/>
                <w:bCs/>
                <w:szCs w:val="21"/>
              </w:rPr>
              <w:t>修订后强调了确定盘点方式应考虑的内容弱化了具体盘点周期的建议，主要考虑到不同产品类型及作业特点具体的盘点周期可能很难统一。同时给出了具有普遍适用性的，推荐采用的盘点方法。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r>
              <w:rPr>
                <w:rFonts w:ascii="宋体" w:hAnsi="宋体" w:eastAsia="宋体" w:cs="Times New Roman"/>
                <w:bCs/>
                <w:szCs w:val="21"/>
              </w:rPr>
              <w:t>4</w:t>
            </w:r>
          </w:p>
        </w:tc>
        <w:tc>
          <w:tcPr>
            <w:tcW w:w="1984" w:type="dxa"/>
          </w:tcPr>
          <w:p>
            <w:pPr>
              <w:rPr>
                <w:rFonts w:ascii="宋体" w:hAnsi="宋体" w:eastAsia="宋体" w:cs="Times New Roman"/>
                <w:bCs/>
                <w:szCs w:val="21"/>
              </w:rPr>
            </w:pPr>
            <w:r>
              <w:rPr>
                <w:rFonts w:ascii="宋体" w:hAnsi="宋体" w:eastAsia="宋体" w:cs="Times New Roman"/>
                <w:bCs/>
                <w:szCs w:val="21"/>
              </w:rPr>
              <w:t>5.2.3</w:t>
            </w:r>
            <w:r>
              <w:rPr>
                <w:rFonts w:hint="eastAsia" w:ascii="宋体" w:hAnsi="宋体" w:eastAsia="宋体" w:cs="Times New Roman"/>
                <w:bCs/>
                <w:szCs w:val="21"/>
              </w:rPr>
              <w:t>盘点完毕，参加盘点人员在盘点表上签字；发现问题时应查明原因，并与有关方面沟通。</w:t>
            </w:r>
          </w:p>
        </w:tc>
        <w:tc>
          <w:tcPr>
            <w:tcW w:w="2268" w:type="dxa"/>
          </w:tcPr>
          <w:p>
            <w:pPr>
              <w:rPr>
                <w:rFonts w:ascii="宋体" w:hAnsi="宋体" w:eastAsia="宋体" w:cs="Times New Roman"/>
                <w:bCs/>
                <w:szCs w:val="21"/>
              </w:rPr>
            </w:pPr>
            <w:r>
              <w:rPr>
                <w:rFonts w:hint="eastAsia" w:ascii="宋体" w:hAnsi="宋体" w:eastAsia="宋体" w:cs="Times New Roman"/>
                <w:bCs/>
                <w:szCs w:val="21"/>
              </w:rPr>
              <w:t>5.2.3.3应将低温物品盘点结果形成书面盘点报告。</w:t>
            </w:r>
          </w:p>
          <w:p>
            <w:pPr>
              <w:rPr>
                <w:rFonts w:ascii="宋体" w:hAnsi="宋体" w:eastAsia="宋体" w:cs="Times New Roman"/>
                <w:bCs/>
                <w:szCs w:val="21"/>
              </w:rPr>
            </w:pPr>
            <w:r>
              <w:rPr>
                <w:rFonts w:hint="eastAsia" w:ascii="宋体" w:hAnsi="宋体" w:eastAsia="宋体" w:cs="Times New Roman"/>
                <w:bCs/>
                <w:szCs w:val="21"/>
              </w:rPr>
              <w:t>5.2.3.4对盘点存在的异常情况，应查明原因，并与相关人员沟通。</w:t>
            </w:r>
          </w:p>
        </w:tc>
        <w:tc>
          <w:tcPr>
            <w:tcW w:w="3198" w:type="dxa"/>
          </w:tcPr>
          <w:p>
            <w:pPr>
              <w:rPr>
                <w:rFonts w:ascii="宋体" w:hAnsi="宋体" w:eastAsia="宋体" w:cs="Times New Roman"/>
                <w:bCs/>
                <w:szCs w:val="21"/>
              </w:rPr>
            </w:pPr>
            <w:r>
              <w:rPr>
                <w:rFonts w:hint="eastAsia" w:ascii="宋体" w:hAnsi="宋体" w:eastAsia="宋体" w:cs="Times New Roman"/>
                <w:bCs/>
                <w:szCs w:val="21"/>
              </w:rPr>
              <w:t>由于目前采用盘点不一定通过纸质盘点表，因此，弱化了签字的动作。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r>
              <w:rPr>
                <w:rFonts w:ascii="宋体" w:hAnsi="宋体" w:eastAsia="宋体" w:cs="Times New Roman"/>
                <w:bCs/>
                <w:szCs w:val="21"/>
              </w:rPr>
              <w:t>5</w:t>
            </w:r>
          </w:p>
        </w:tc>
        <w:tc>
          <w:tcPr>
            <w:tcW w:w="1984" w:type="dxa"/>
          </w:tcPr>
          <w:p>
            <w:pPr>
              <w:rPr>
                <w:rFonts w:ascii="宋体" w:hAnsi="宋体" w:eastAsia="宋体" w:cs="Times New Roman"/>
                <w:bCs/>
                <w:szCs w:val="21"/>
              </w:rPr>
            </w:pPr>
            <w:r>
              <w:rPr>
                <w:rFonts w:ascii="宋体" w:hAnsi="宋体" w:eastAsia="宋体" w:cs="Times New Roman"/>
                <w:bCs/>
                <w:szCs w:val="21"/>
              </w:rPr>
              <w:t>6.1.3</w:t>
            </w:r>
            <w:r>
              <w:rPr>
                <w:rFonts w:hint="eastAsia" w:ascii="宋体" w:hAnsi="宋体" w:eastAsia="宋体" w:cs="Times New Roman"/>
                <w:bCs/>
                <w:szCs w:val="21"/>
              </w:rPr>
              <w:t>低温物品出库前，保管人应提前核实库存情况，发现问题立即与存货人沟通、协调。</w:t>
            </w:r>
          </w:p>
        </w:tc>
        <w:tc>
          <w:tcPr>
            <w:tcW w:w="2268" w:type="dxa"/>
          </w:tcPr>
          <w:p>
            <w:pPr>
              <w:rPr>
                <w:rFonts w:ascii="宋体" w:hAnsi="宋体" w:eastAsia="宋体" w:cs="Times New Roman"/>
                <w:bCs/>
                <w:szCs w:val="21"/>
              </w:rPr>
            </w:pPr>
            <w:r>
              <w:rPr>
                <w:rFonts w:hint="eastAsia" w:ascii="宋体" w:hAnsi="宋体" w:eastAsia="宋体" w:cs="Times New Roman"/>
                <w:bCs/>
                <w:szCs w:val="21"/>
              </w:rPr>
              <w:t>5.3.1.1接到收发货指令后，应核实其有效性及库存数量，如有问题立即与存货人沟通、协调。</w:t>
            </w:r>
          </w:p>
          <w:p>
            <w:pPr>
              <w:rPr>
                <w:rFonts w:ascii="宋体" w:hAnsi="宋体" w:eastAsia="宋体" w:cs="Times New Roman"/>
                <w:bCs/>
                <w:szCs w:val="21"/>
              </w:rPr>
            </w:pPr>
            <w:r>
              <w:rPr>
                <w:rFonts w:hint="eastAsia" w:ascii="宋体" w:hAnsi="宋体" w:eastAsia="宋体" w:cs="Times New Roman"/>
                <w:bCs/>
                <w:szCs w:val="21"/>
              </w:rPr>
              <w:t>5.3.1.2应做好人员、设备、场地准备工作。</w:t>
            </w:r>
          </w:p>
        </w:tc>
        <w:tc>
          <w:tcPr>
            <w:tcW w:w="3198" w:type="dxa"/>
          </w:tcPr>
          <w:p>
            <w:pPr>
              <w:rPr>
                <w:rFonts w:ascii="宋体" w:hAnsi="宋体" w:eastAsia="宋体" w:cs="Times New Roman"/>
                <w:bCs/>
                <w:szCs w:val="21"/>
              </w:rPr>
            </w:pPr>
            <w:r>
              <w:rPr>
                <w:rFonts w:hint="eastAsia" w:ascii="宋体" w:hAnsi="宋体" w:eastAsia="宋体" w:cs="Times New Roman"/>
                <w:bCs/>
                <w:szCs w:val="21"/>
              </w:rPr>
              <w:t>增加了对于发货指令有效性的核对要求。调研发现，很多货物错发情况是由于发货指令的合规、合法性存在问题，既包括客观问题也包括人为因素，最终导致货物损失，因此，此次修订，将核对发货指令的有效性作为一个重要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r>
              <w:rPr>
                <w:rFonts w:ascii="宋体" w:hAnsi="宋体" w:eastAsia="宋体" w:cs="Times New Roman"/>
                <w:bCs/>
                <w:szCs w:val="21"/>
              </w:rPr>
              <w:t>6</w:t>
            </w:r>
          </w:p>
        </w:tc>
        <w:tc>
          <w:tcPr>
            <w:tcW w:w="1984" w:type="dxa"/>
          </w:tcPr>
          <w:p>
            <w:pPr>
              <w:rPr>
                <w:rFonts w:ascii="宋体" w:hAnsi="宋体" w:eastAsia="宋体" w:cs="Times New Roman"/>
                <w:bCs/>
                <w:szCs w:val="21"/>
              </w:rPr>
            </w:pPr>
            <w:r>
              <w:rPr>
                <w:rFonts w:ascii="宋体" w:hAnsi="宋体" w:eastAsia="宋体" w:cs="Times New Roman"/>
                <w:bCs/>
                <w:szCs w:val="21"/>
              </w:rPr>
              <w:t>6.1.4</w:t>
            </w:r>
            <w:r>
              <w:rPr>
                <w:rFonts w:hint="eastAsia" w:ascii="宋体" w:hAnsi="宋体" w:eastAsia="宋体" w:cs="Times New Roman"/>
                <w:bCs/>
                <w:szCs w:val="21"/>
              </w:rPr>
              <w:t>保管人根据出库通知拣货，对需要拆零、拼箱出库的低温物品，应做好拣选、分装等作业。</w:t>
            </w:r>
          </w:p>
        </w:tc>
        <w:tc>
          <w:tcPr>
            <w:tcW w:w="2268" w:type="dxa"/>
          </w:tcPr>
          <w:p>
            <w:pPr>
              <w:rPr>
                <w:rFonts w:ascii="宋体" w:hAnsi="宋体" w:eastAsia="宋体" w:cs="Times New Roman"/>
                <w:bCs/>
                <w:szCs w:val="21"/>
              </w:rPr>
            </w:pPr>
            <w:r>
              <w:rPr>
                <w:rFonts w:ascii="宋体" w:hAnsi="宋体" w:eastAsia="宋体" w:cs="Times New Roman"/>
                <w:bCs/>
                <w:szCs w:val="21"/>
              </w:rPr>
              <w:t>5.3.2.4</w:t>
            </w:r>
            <w:r>
              <w:rPr>
                <w:rFonts w:hint="eastAsia" w:ascii="宋体" w:hAnsi="宋体" w:eastAsia="宋体" w:cs="Times New Roman"/>
                <w:bCs/>
                <w:szCs w:val="21"/>
              </w:rPr>
              <w:t>对需要拆零、拼箱出库的低温物品，宜采用保温周转箱等单元化物流载具。</w:t>
            </w:r>
          </w:p>
        </w:tc>
        <w:tc>
          <w:tcPr>
            <w:tcW w:w="3198" w:type="dxa"/>
          </w:tcPr>
          <w:p>
            <w:pPr>
              <w:rPr>
                <w:rFonts w:ascii="宋体" w:hAnsi="宋体" w:eastAsia="宋体" w:cs="Times New Roman"/>
                <w:bCs/>
                <w:szCs w:val="21"/>
              </w:rPr>
            </w:pPr>
            <w:r>
              <w:rPr>
                <w:rFonts w:hint="eastAsia" w:ascii="宋体" w:hAnsi="宋体" w:eastAsia="宋体" w:cs="Times New Roman"/>
                <w:bCs/>
                <w:szCs w:val="21"/>
              </w:rPr>
              <w:t>原标准的要求过于笼统，缺少指导性，修订后，此条给出了尽量使用单元化载具的建议。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r>
              <w:rPr>
                <w:rFonts w:ascii="宋体" w:hAnsi="宋体" w:eastAsia="宋体" w:cs="Times New Roman"/>
                <w:bCs/>
                <w:szCs w:val="21"/>
              </w:rPr>
              <w:t>7</w:t>
            </w:r>
          </w:p>
        </w:tc>
        <w:tc>
          <w:tcPr>
            <w:tcW w:w="1984" w:type="dxa"/>
          </w:tcPr>
          <w:p>
            <w:pPr>
              <w:rPr>
                <w:rFonts w:ascii="宋体" w:hAnsi="宋体" w:eastAsia="宋体" w:cs="Times New Roman"/>
                <w:bCs/>
                <w:szCs w:val="21"/>
              </w:rPr>
            </w:pPr>
            <w:r>
              <w:rPr>
                <w:rFonts w:ascii="宋体" w:hAnsi="宋体" w:eastAsia="宋体" w:cs="Times New Roman"/>
                <w:bCs/>
                <w:szCs w:val="21"/>
              </w:rPr>
              <w:t>6.2.4</w:t>
            </w:r>
            <w:r>
              <w:rPr>
                <w:rFonts w:hint="eastAsia" w:ascii="宋体" w:hAnsi="宋体" w:eastAsia="宋体" w:cs="Times New Roman"/>
                <w:bCs/>
                <w:szCs w:val="21"/>
              </w:rPr>
              <w:t>保管人与提货人应对交接的低温物品信息进行核对，无误后共同在出库交接记录凭证上签字确认。</w:t>
            </w:r>
          </w:p>
        </w:tc>
        <w:tc>
          <w:tcPr>
            <w:tcW w:w="2268" w:type="dxa"/>
          </w:tcPr>
          <w:p>
            <w:pPr>
              <w:rPr>
                <w:rFonts w:ascii="宋体" w:hAnsi="宋体" w:eastAsia="宋体" w:cs="Times New Roman"/>
                <w:bCs/>
                <w:szCs w:val="21"/>
              </w:rPr>
            </w:pPr>
            <w:r>
              <w:rPr>
                <w:rFonts w:ascii="宋体" w:hAnsi="宋体" w:eastAsia="宋体" w:cs="Times New Roman"/>
                <w:bCs/>
                <w:szCs w:val="21"/>
              </w:rPr>
              <w:t>5.3.4.2</w:t>
            </w:r>
            <w:r>
              <w:rPr>
                <w:rFonts w:hint="eastAsia" w:ascii="宋体" w:hAnsi="宋体" w:eastAsia="宋体" w:cs="Times New Roman"/>
                <w:bCs/>
                <w:szCs w:val="21"/>
              </w:rPr>
              <w:t>在</w:t>
            </w:r>
            <w:bookmarkStart w:id="0" w:name="_Hlk143505273"/>
            <w:r>
              <w:rPr>
                <w:rFonts w:hint="eastAsia" w:ascii="宋体" w:hAnsi="宋体" w:eastAsia="宋体" w:cs="Times New Roman"/>
                <w:bCs/>
                <w:szCs w:val="21"/>
              </w:rPr>
              <w:t>办理低温物品出库交接手续时</w:t>
            </w:r>
            <w:bookmarkEnd w:id="0"/>
            <w:r>
              <w:rPr>
                <w:rFonts w:hint="eastAsia" w:ascii="宋体" w:hAnsi="宋体" w:eastAsia="宋体" w:cs="Times New Roman"/>
                <w:bCs/>
                <w:szCs w:val="21"/>
              </w:rPr>
              <w:t>应与司机或提货人逐笔进行交接。</w:t>
            </w:r>
          </w:p>
        </w:tc>
        <w:tc>
          <w:tcPr>
            <w:tcW w:w="3198" w:type="dxa"/>
          </w:tcPr>
          <w:p>
            <w:pPr>
              <w:rPr>
                <w:rFonts w:ascii="宋体" w:hAnsi="宋体" w:eastAsia="宋体" w:cs="Times New Roman"/>
                <w:bCs/>
                <w:szCs w:val="21"/>
              </w:rPr>
            </w:pPr>
            <w:r>
              <w:rPr>
                <w:rFonts w:hint="eastAsia" w:ascii="宋体" w:hAnsi="宋体" w:eastAsia="宋体" w:cs="Times New Roman"/>
                <w:bCs/>
                <w:szCs w:val="21"/>
              </w:rPr>
              <w:t>由于目前交接确认不一定通过纸质单据，因此，弱化了签字的动作。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r>
              <w:rPr>
                <w:rFonts w:ascii="宋体" w:hAnsi="宋体" w:eastAsia="宋体" w:cs="Times New Roman"/>
                <w:bCs/>
                <w:szCs w:val="21"/>
              </w:rPr>
              <w:t>8</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9.6</w:t>
            </w:r>
            <w:r>
              <w:rPr>
                <w:rFonts w:hint="eastAsia" w:ascii="宋体" w:hAnsi="宋体" w:eastAsia="宋体" w:cs="Times New Roman"/>
                <w:bCs/>
                <w:szCs w:val="21"/>
              </w:rPr>
              <w:t>低温仓库环境控制应符合GB/T 30134-2013中5.4的相关要求，食品冷库还应满足GB/T 24616-2019中7.2的要求。</w:t>
            </w:r>
          </w:p>
        </w:tc>
        <w:tc>
          <w:tcPr>
            <w:tcW w:w="3198" w:type="dxa"/>
          </w:tcPr>
          <w:p>
            <w:pPr>
              <w:rPr>
                <w:rFonts w:ascii="宋体" w:hAnsi="宋体" w:eastAsia="宋体" w:cs="Times New Roman"/>
                <w:bCs/>
                <w:szCs w:val="21"/>
              </w:rPr>
            </w:pPr>
            <w:r>
              <w:rPr>
                <w:rFonts w:hint="eastAsia" w:ascii="宋体" w:hAnsi="宋体" w:eastAsia="宋体" w:cs="Times New Roman"/>
                <w:bCs/>
                <w:szCs w:val="21"/>
              </w:rPr>
              <w:t>环境控制中增加了对于现有国标内容的引用。对于低温仓库的作业环境在</w:t>
            </w:r>
            <w:r>
              <w:rPr>
                <w:rFonts w:ascii="宋体" w:hAnsi="宋体" w:eastAsia="宋体" w:cs="Times New Roman"/>
                <w:bCs/>
                <w:szCs w:val="21"/>
              </w:rPr>
              <w:t>GB/T 30134</w:t>
            </w:r>
            <w:r>
              <w:rPr>
                <w:rFonts w:hint="eastAsia" w:ascii="宋体" w:hAnsi="宋体" w:eastAsia="宋体" w:cs="Times New Roman"/>
                <w:bCs/>
                <w:szCs w:val="21"/>
              </w:rPr>
              <w:t>与</w:t>
            </w:r>
            <w:r>
              <w:rPr>
                <w:rFonts w:ascii="宋体" w:hAnsi="宋体" w:eastAsia="宋体" w:cs="Times New Roman"/>
                <w:bCs/>
                <w:szCs w:val="21"/>
              </w:rPr>
              <w:t>GB/T 24616</w:t>
            </w:r>
            <w:r>
              <w:rPr>
                <w:rFonts w:hint="eastAsia" w:ascii="宋体" w:hAnsi="宋体" w:eastAsia="宋体" w:cs="Times New Roman"/>
                <w:bCs/>
                <w:szCs w:val="21"/>
              </w:rPr>
              <w:t>中已有较为全面的要求，引用后内容更加全面。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1</w:t>
            </w:r>
            <w:r>
              <w:rPr>
                <w:rFonts w:ascii="宋体" w:hAnsi="宋体" w:eastAsia="宋体" w:cs="Times New Roman"/>
                <w:bCs/>
                <w:szCs w:val="21"/>
              </w:rPr>
              <w:t>9</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5.5</w:t>
            </w:r>
            <w:r>
              <w:rPr>
                <w:rFonts w:hint="eastAsia" w:ascii="宋体" w:hAnsi="宋体" w:eastAsia="宋体" w:cs="Times New Roman"/>
                <w:bCs/>
                <w:szCs w:val="21"/>
              </w:rPr>
              <w:t>其他作业</w:t>
            </w:r>
          </w:p>
          <w:p>
            <w:pPr>
              <w:rPr>
                <w:rFonts w:ascii="宋体" w:hAnsi="宋体" w:eastAsia="宋体" w:cs="Times New Roman"/>
                <w:bCs/>
                <w:szCs w:val="21"/>
              </w:rPr>
            </w:pPr>
            <w:r>
              <w:rPr>
                <w:rFonts w:hint="eastAsia" w:ascii="宋体" w:hAnsi="宋体" w:eastAsia="宋体" w:cs="Times New Roman"/>
                <w:bCs/>
                <w:szCs w:val="21"/>
              </w:rPr>
              <w:t>5</w:t>
            </w:r>
            <w:r>
              <w:rPr>
                <w:rFonts w:ascii="宋体" w:hAnsi="宋体" w:eastAsia="宋体" w:cs="Times New Roman"/>
                <w:bCs/>
                <w:szCs w:val="21"/>
              </w:rPr>
              <w:t>.5.1</w:t>
            </w:r>
            <w:r>
              <w:rPr>
                <w:rFonts w:hint="eastAsia" w:ascii="宋体" w:hAnsi="宋体" w:eastAsia="宋体" w:cs="Times New Roman"/>
                <w:bCs/>
                <w:szCs w:val="21"/>
              </w:rPr>
              <w:t>流通加工</w:t>
            </w:r>
          </w:p>
          <w:p>
            <w:pPr>
              <w:rPr>
                <w:rFonts w:ascii="宋体" w:hAnsi="宋体" w:eastAsia="宋体" w:cs="Times New Roman"/>
                <w:bCs/>
                <w:szCs w:val="21"/>
              </w:rPr>
            </w:pPr>
            <w:r>
              <w:rPr>
                <w:rFonts w:hint="eastAsia" w:ascii="宋体" w:hAnsi="宋体" w:eastAsia="宋体" w:cs="Times New Roman"/>
                <w:bCs/>
                <w:szCs w:val="21"/>
              </w:rPr>
              <w:t>5</w:t>
            </w:r>
            <w:r>
              <w:rPr>
                <w:rFonts w:ascii="宋体" w:hAnsi="宋体" w:eastAsia="宋体" w:cs="Times New Roman"/>
                <w:bCs/>
                <w:szCs w:val="21"/>
              </w:rPr>
              <w:t>.5.2</w:t>
            </w:r>
            <w:r>
              <w:rPr>
                <w:rFonts w:hint="eastAsia" w:ascii="宋体" w:hAnsi="宋体" w:eastAsia="宋体" w:cs="Times New Roman"/>
                <w:bCs/>
                <w:szCs w:val="21"/>
              </w:rPr>
              <w:t>退货</w:t>
            </w:r>
          </w:p>
        </w:tc>
        <w:tc>
          <w:tcPr>
            <w:tcW w:w="3198" w:type="dxa"/>
          </w:tcPr>
          <w:p>
            <w:pPr>
              <w:rPr>
                <w:rFonts w:ascii="宋体" w:hAnsi="宋体" w:eastAsia="宋体" w:cs="Times New Roman"/>
                <w:bCs/>
                <w:szCs w:val="21"/>
              </w:rPr>
            </w:pPr>
            <w:r>
              <w:rPr>
                <w:rFonts w:hint="eastAsia" w:ascii="宋体" w:hAnsi="宋体" w:eastAsia="宋体" w:cs="Times New Roman"/>
                <w:bCs/>
                <w:szCs w:val="21"/>
              </w:rPr>
              <w:t>此次修订对于流通加工和退货单独进行了要求，也是强调流通加工环节在低温仓储作业中的重要性。但考虑到流通加工和退货两项作业不是所有与低温仓储都包括的，所以放置在5</w:t>
            </w:r>
            <w:r>
              <w:rPr>
                <w:rFonts w:ascii="宋体" w:hAnsi="宋体" w:eastAsia="宋体" w:cs="Times New Roman"/>
                <w:bCs/>
                <w:szCs w:val="21"/>
              </w:rPr>
              <w:t>.5</w:t>
            </w:r>
            <w:r>
              <w:rPr>
                <w:rFonts w:hint="eastAsia" w:ascii="宋体" w:hAnsi="宋体" w:eastAsia="宋体" w:cs="Times New Roman"/>
                <w:bCs/>
                <w:szCs w:val="21"/>
              </w:rPr>
              <w:t>其他作业中，同时，两项作业内容与形式多样，标准中只给出了流通加工的基本要求和框架上要求。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2</w:t>
            </w:r>
            <w:r>
              <w:rPr>
                <w:rFonts w:ascii="宋体" w:hAnsi="宋体" w:eastAsia="宋体" w:cs="Times New Roman"/>
                <w:bCs/>
                <w:szCs w:val="21"/>
              </w:rPr>
              <w:t>0</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6作业场所</w:t>
            </w:r>
          </w:p>
        </w:tc>
        <w:tc>
          <w:tcPr>
            <w:tcW w:w="3198" w:type="dxa"/>
          </w:tcPr>
          <w:p>
            <w:pPr>
              <w:rPr>
                <w:rFonts w:ascii="宋体" w:hAnsi="宋体" w:eastAsia="宋体" w:cs="Times New Roman"/>
                <w:bCs/>
                <w:szCs w:val="21"/>
              </w:rPr>
            </w:pPr>
            <w:r>
              <w:rPr>
                <w:rFonts w:hint="eastAsia" w:ascii="宋体" w:hAnsi="宋体" w:eastAsia="宋体" w:cs="Times New Roman"/>
                <w:bCs/>
                <w:szCs w:val="21"/>
              </w:rPr>
              <w:t>原标准中并没有对作业场所做单独额外的说明。随着冷链物流的发展，对低温物品质量的要求越来越高，这样就倒逼低温仓储作业的规范越来越高。</w:t>
            </w:r>
          </w:p>
          <w:p>
            <w:pPr>
              <w:rPr>
                <w:rFonts w:ascii="宋体" w:hAnsi="宋体" w:eastAsia="宋体" w:cs="Times New Roman"/>
                <w:bCs/>
                <w:szCs w:val="21"/>
              </w:rPr>
            </w:pPr>
            <w:r>
              <w:rPr>
                <w:rFonts w:hint="eastAsia" w:ascii="宋体" w:hAnsi="宋体" w:eastAsia="宋体" w:cs="Times New Roman"/>
                <w:bCs/>
                <w:szCs w:val="21"/>
              </w:rPr>
              <w:t>本章节的增加也是基于低温仓库的</w:t>
            </w:r>
            <w:r>
              <w:rPr>
                <w:rFonts w:ascii="宋体" w:hAnsi="宋体" w:eastAsia="宋体" w:cs="Times New Roman"/>
                <w:bCs/>
                <w:szCs w:val="21"/>
              </w:rPr>
              <w:t>5S管理基础之上，对设置合理标志、标线、安全看板、安全警示</w:t>
            </w:r>
            <w:r>
              <w:rPr>
                <w:rFonts w:hint="eastAsia" w:ascii="宋体" w:hAnsi="宋体" w:eastAsia="宋体" w:cs="Times New Roman"/>
                <w:bCs/>
                <w:szCs w:val="21"/>
              </w:rPr>
              <w:t>、要求对于外来人员进行登记、要求作业场所应保持干净整洁卫生等提出了要求。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2</w:t>
            </w:r>
            <w:r>
              <w:rPr>
                <w:rFonts w:ascii="宋体" w:hAnsi="宋体" w:eastAsia="宋体" w:cs="Times New Roman"/>
                <w:bCs/>
                <w:szCs w:val="21"/>
              </w:rPr>
              <w:t>1</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7</w:t>
            </w:r>
            <w:bookmarkStart w:id="1" w:name="_Hlk143505424"/>
            <w:r>
              <w:rPr>
                <w:rFonts w:hint="eastAsia" w:ascii="宋体" w:hAnsi="宋体" w:eastAsia="宋体" w:cs="Times New Roman"/>
                <w:bCs/>
                <w:szCs w:val="21"/>
              </w:rPr>
              <w:t>作业设备</w:t>
            </w:r>
            <w:bookmarkEnd w:id="1"/>
          </w:p>
        </w:tc>
        <w:tc>
          <w:tcPr>
            <w:tcW w:w="3198" w:type="dxa"/>
          </w:tcPr>
          <w:p>
            <w:pPr>
              <w:rPr>
                <w:rFonts w:ascii="宋体" w:hAnsi="宋体" w:eastAsia="宋体" w:cs="Times New Roman"/>
                <w:bCs/>
                <w:szCs w:val="21"/>
              </w:rPr>
            </w:pPr>
            <w:r>
              <w:rPr>
                <w:rFonts w:hint="eastAsia" w:ascii="宋体" w:hAnsi="宋体" w:eastAsia="宋体" w:cs="Times New Roman"/>
                <w:bCs/>
                <w:szCs w:val="21"/>
              </w:rPr>
              <w:t>此次修订将作业设备单独设置了一个章节，主要从设备的使用安全、合规操作方面提出了要求。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2</w:t>
            </w:r>
            <w:r>
              <w:rPr>
                <w:rFonts w:ascii="宋体" w:hAnsi="宋体" w:eastAsia="宋体" w:cs="Times New Roman"/>
                <w:bCs/>
                <w:szCs w:val="21"/>
              </w:rPr>
              <w:t>2</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8作业人员</w:t>
            </w:r>
          </w:p>
        </w:tc>
        <w:tc>
          <w:tcPr>
            <w:tcW w:w="3198" w:type="dxa"/>
          </w:tcPr>
          <w:p>
            <w:pPr>
              <w:rPr>
                <w:rFonts w:ascii="宋体" w:hAnsi="宋体" w:eastAsia="宋体" w:cs="Times New Roman"/>
                <w:bCs/>
                <w:szCs w:val="21"/>
              </w:rPr>
            </w:pPr>
            <w:r>
              <w:rPr>
                <w:rFonts w:hint="eastAsia" w:ascii="宋体" w:hAnsi="宋体" w:eastAsia="宋体" w:cs="Times New Roman"/>
                <w:bCs/>
                <w:szCs w:val="21"/>
              </w:rPr>
              <w:t>经调研，目前企业在低温仓储作业管理中，无论是从作业安全，还是作业效率方面，都将人的管理放到了首位，小组会讨论中，大家一致认为应在标准中将人员管理单独约束。因此，此次修订增加了对于作业人员资质、培训、考核等方面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2</w:t>
            </w:r>
            <w:r>
              <w:rPr>
                <w:rFonts w:ascii="宋体" w:hAnsi="宋体" w:eastAsia="宋体" w:cs="Times New Roman"/>
                <w:bCs/>
                <w:szCs w:val="21"/>
              </w:rPr>
              <w:t>3</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hint="eastAsia" w:ascii="宋体" w:hAnsi="宋体" w:eastAsia="宋体" w:cs="Times New Roman"/>
                <w:bCs/>
                <w:szCs w:val="21"/>
              </w:rPr>
              <w:t>10.</w:t>
            </w:r>
            <w:r>
              <w:rPr>
                <w:rFonts w:ascii="宋体" w:hAnsi="宋体" w:eastAsia="宋体" w:cs="Times New Roman"/>
                <w:bCs/>
                <w:szCs w:val="21"/>
              </w:rPr>
              <w:t>4</w:t>
            </w:r>
            <w:r>
              <w:rPr>
                <w:rFonts w:hint="eastAsia" w:ascii="宋体" w:hAnsi="宋体" w:eastAsia="宋体" w:cs="Times New Roman"/>
                <w:bCs/>
                <w:szCs w:val="21"/>
              </w:rPr>
              <w:t>应定期检查安全防护用具的状态。</w:t>
            </w:r>
          </w:p>
        </w:tc>
        <w:tc>
          <w:tcPr>
            <w:tcW w:w="3198" w:type="dxa"/>
          </w:tcPr>
          <w:p>
            <w:pPr>
              <w:rPr>
                <w:rFonts w:ascii="宋体" w:hAnsi="宋体" w:eastAsia="宋体" w:cs="Times New Roman"/>
                <w:bCs/>
                <w:szCs w:val="21"/>
              </w:rPr>
            </w:pPr>
            <w:r>
              <w:rPr>
                <w:rFonts w:hint="eastAsia" w:ascii="宋体" w:hAnsi="宋体" w:eastAsia="宋体" w:cs="Times New Roman"/>
                <w:bCs/>
                <w:szCs w:val="21"/>
              </w:rPr>
              <w:t>在作业安全部分提出了对于安全防护用具定期检查要求，在调研中发现，很多企业由于对于该环节的疏忽，导致在出现突发事件时，无法及时做出有效相应，造成损失。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2</w:t>
            </w:r>
            <w:r>
              <w:rPr>
                <w:rFonts w:ascii="宋体" w:hAnsi="宋体" w:eastAsia="宋体" w:cs="Times New Roman"/>
                <w:bCs/>
                <w:szCs w:val="21"/>
              </w:rPr>
              <w:t>4</w:t>
            </w:r>
          </w:p>
        </w:tc>
        <w:tc>
          <w:tcPr>
            <w:tcW w:w="1984" w:type="dxa"/>
          </w:tcPr>
          <w:p>
            <w:pPr>
              <w:rPr>
                <w:rFonts w:ascii="宋体" w:hAnsi="宋体" w:eastAsia="宋体" w:cs="Times New Roman"/>
                <w:bCs/>
                <w:szCs w:val="21"/>
              </w:rPr>
            </w:pPr>
            <w:r>
              <w:rPr>
                <w:rFonts w:hint="eastAsia" w:ascii="宋体" w:hAnsi="宋体" w:eastAsia="宋体" w:cs="Times New Roman"/>
                <w:bCs/>
                <w:szCs w:val="21"/>
              </w:rPr>
              <w:t>9.4低温物品入库交接记录和出库交接记录应采用纸质形式。</w:t>
            </w:r>
          </w:p>
        </w:tc>
        <w:tc>
          <w:tcPr>
            <w:tcW w:w="2268" w:type="dxa"/>
          </w:tcPr>
          <w:p>
            <w:pPr>
              <w:rPr>
                <w:rFonts w:ascii="宋体" w:hAnsi="宋体" w:eastAsia="宋体" w:cs="Times New Roman"/>
                <w:bCs/>
                <w:szCs w:val="21"/>
              </w:rPr>
            </w:pPr>
            <w:r>
              <w:rPr>
                <w:rFonts w:hint="eastAsia" w:ascii="宋体" w:hAnsi="宋体" w:eastAsia="宋体" w:cs="Times New Roman"/>
                <w:bCs/>
                <w:szCs w:val="21"/>
              </w:rPr>
              <w:t>——</w:t>
            </w:r>
          </w:p>
        </w:tc>
        <w:tc>
          <w:tcPr>
            <w:tcW w:w="3198" w:type="dxa"/>
          </w:tcPr>
          <w:p>
            <w:pPr>
              <w:rPr>
                <w:rFonts w:ascii="宋体" w:hAnsi="宋体" w:eastAsia="宋体" w:cs="Times New Roman"/>
                <w:bCs/>
                <w:szCs w:val="21"/>
              </w:rPr>
            </w:pPr>
            <w:r>
              <w:rPr>
                <w:rFonts w:hint="eastAsia" w:ascii="宋体" w:hAnsi="宋体" w:eastAsia="宋体" w:cs="Times New Roman"/>
                <w:bCs/>
                <w:szCs w:val="21"/>
              </w:rPr>
              <w:t>随着现代化信息技术的普及，本条适用纸质单据的要求已不再适用于目前行业发展，顾删除。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2</w:t>
            </w:r>
            <w:r>
              <w:rPr>
                <w:rFonts w:ascii="宋体" w:hAnsi="宋体" w:eastAsia="宋体" w:cs="Times New Roman"/>
                <w:bCs/>
                <w:szCs w:val="21"/>
              </w:rPr>
              <w:t>5</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11.3</w:t>
            </w:r>
            <w:r>
              <w:rPr>
                <w:rFonts w:hint="eastAsia" w:ascii="Times New Roman" w:hAnsi="Times New Roman" w:eastAsia="宋体" w:cs="Times New Roman"/>
              </w:rPr>
              <w:t xml:space="preserve"> </w:t>
            </w:r>
            <w:r>
              <w:rPr>
                <w:rFonts w:hint="eastAsia" w:ascii="宋体" w:hAnsi="宋体" w:eastAsia="宋体" w:cs="Times New Roman"/>
                <w:bCs/>
                <w:szCs w:val="21"/>
              </w:rPr>
              <w:t>信息系统应预留与上下游企业、承运商等系统对接的标准化接口，并宜与其对接。</w:t>
            </w:r>
          </w:p>
        </w:tc>
        <w:tc>
          <w:tcPr>
            <w:tcW w:w="3198" w:type="dxa"/>
          </w:tcPr>
          <w:p>
            <w:pPr>
              <w:rPr>
                <w:rFonts w:ascii="宋体" w:hAnsi="宋体" w:eastAsia="宋体" w:cs="Times New Roman"/>
                <w:bCs/>
                <w:szCs w:val="21"/>
              </w:rPr>
            </w:pPr>
            <w:r>
              <w:rPr>
                <w:rFonts w:hint="eastAsia" w:ascii="宋体" w:hAnsi="宋体" w:eastAsia="宋体" w:cs="Times New Roman"/>
                <w:bCs/>
                <w:szCs w:val="21"/>
              </w:rPr>
              <w:t>此次修订在信息化部分对于仓储作业系统的接口提出了要求。与上下游信息系统的打通对于提高仓储作业效率与准确性有具有重要意义，因此，此次修订对于接口的标准、对接的要求提出了建议。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rPr>
                <w:rFonts w:ascii="宋体" w:hAnsi="宋体" w:eastAsia="宋体" w:cs="Times New Roman"/>
                <w:bCs/>
                <w:szCs w:val="21"/>
              </w:rPr>
            </w:pPr>
            <w:r>
              <w:rPr>
                <w:rFonts w:hint="eastAsia" w:ascii="宋体" w:hAnsi="宋体" w:eastAsia="宋体" w:cs="Times New Roman"/>
                <w:bCs/>
                <w:szCs w:val="21"/>
              </w:rPr>
              <w:t>2</w:t>
            </w:r>
            <w:r>
              <w:rPr>
                <w:rFonts w:ascii="宋体" w:hAnsi="宋体" w:eastAsia="宋体" w:cs="Times New Roman"/>
                <w:bCs/>
                <w:szCs w:val="21"/>
              </w:rPr>
              <w:t>6</w:t>
            </w:r>
          </w:p>
        </w:tc>
        <w:tc>
          <w:tcPr>
            <w:tcW w:w="1984" w:type="dxa"/>
          </w:tcPr>
          <w:p>
            <w:pPr>
              <w:rPr>
                <w:rFonts w:ascii="宋体" w:hAnsi="宋体" w:eastAsia="宋体" w:cs="Times New Roman"/>
                <w:bCs/>
                <w:szCs w:val="21"/>
              </w:rPr>
            </w:pPr>
            <w:r>
              <w:rPr>
                <w:rFonts w:hint="eastAsia" w:ascii="宋体" w:hAnsi="宋体" w:eastAsia="宋体" w:cs="Times New Roman"/>
                <w:bCs/>
                <w:szCs w:val="21"/>
              </w:rPr>
              <w:t>——</w:t>
            </w:r>
          </w:p>
        </w:tc>
        <w:tc>
          <w:tcPr>
            <w:tcW w:w="2268" w:type="dxa"/>
          </w:tcPr>
          <w:p>
            <w:pPr>
              <w:rPr>
                <w:rFonts w:ascii="宋体" w:hAnsi="宋体" w:eastAsia="宋体" w:cs="Times New Roman"/>
                <w:bCs/>
                <w:szCs w:val="21"/>
              </w:rPr>
            </w:pPr>
            <w:r>
              <w:rPr>
                <w:rFonts w:ascii="宋体" w:hAnsi="宋体" w:eastAsia="宋体" w:cs="Times New Roman"/>
                <w:bCs/>
                <w:szCs w:val="21"/>
              </w:rPr>
              <w:t>12</w:t>
            </w:r>
            <w:r>
              <w:rPr>
                <w:rFonts w:hint="eastAsia" w:ascii="宋体" w:hAnsi="宋体" w:eastAsia="宋体" w:cs="Times New Roman"/>
                <w:bCs/>
                <w:szCs w:val="21"/>
              </w:rPr>
              <w:t>评价与改进</w:t>
            </w:r>
          </w:p>
        </w:tc>
        <w:tc>
          <w:tcPr>
            <w:tcW w:w="3198" w:type="dxa"/>
          </w:tcPr>
          <w:p>
            <w:pPr>
              <w:rPr>
                <w:rFonts w:ascii="宋体" w:hAnsi="宋体" w:eastAsia="宋体" w:cs="Times New Roman"/>
                <w:bCs/>
                <w:szCs w:val="21"/>
              </w:rPr>
            </w:pPr>
            <w:r>
              <w:rPr>
                <w:rFonts w:hint="eastAsia" w:ascii="宋体" w:hAnsi="宋体" w:eastAsia="宋体" w:cs="Times New Roman"/>
                <w:bCs/>
                <w:szCs w:val="21"/>
              </w:rPr>
              <w:t>增加本章节是对前述章节的总结与未来改善，也是遵循全面质量管理中的</w:t>
            </w:r>
            <w:r>
              <w:rPr>
                <w:rFonts w:ascii="宋体" w:hAnsi="宋体" w:eastAsia="宋体" w:cs="Times New Roman"/>
                <w:bCs/>
                <w:szCs w:val="21"/>
              </w:rPr>
              <w:t>PDCA（即Plan（计划）、Do（执行）、Check（检查）和 Act（处理））循环法则。</w:t>
            </w:r>
          </w:p>
          <w:p>
            <w:pPr>
              <w:rPr>
                <w:rFonts w:ascii="宋体" w:hAnsi="宋体" w:eastAsia="宋体" w:cs="Times New Roman"/>
                <w:bCs/>
                <w:szCs w:val="21"/>
              </w:rPr>
            </w:pPr>
            <w:r>
              <w:rPr>
                <w:rFonts w:hint="eastAsia" w:ascii="宋体" w:hAnsi="宋体" w:eastAsia="宋体" w:cs="Times New Roman"/>
                <w:bCs/>
                <w:szCs w:val="21"/>
              </w:rPr>
              <w:t>在低温仓储作业实际过程中可能因仓库或者业务的实际情况发生变化，要进行评价改进制度，既是对低温仓储作业自身的检验，也是对平时每个人、设施设备、制度等全方面的再确认再改进，最终达到持续优化作业流程与规范的目的。</w:t>
            </w:r>
          </w:p>
        </w:tc>
      </w:tr>
    </w:tbl>
    <w:p>
      <w:pPr>
        <w:keepNext w:val="0"/>
        <w:keepLines w:val="0"/>
        <w:pageBreakBefore w:val="0"/>
        <w:widowControl w:val="0"/>
        <w:kinsoku/>
        <w:wordWrap/>
        <w:overflowPunct/>
        <w:topLinePunct w:val="0"/>
        <w:autoSpaceDE/>
        <w:autoSpaceDN/>
        <w:bidi w:val="0"/>
        <w:adjustRightInd/>
        <w:snapToGrid w:val="0"/>
        <w:ind w:firstLine="643" w:firstLineChars="200"/>
        <w:textAlignment w:val="auto"/>
        <w:rPr>
          <w:rFonts w:ascii="仿宋" w:hAnsi="仿宋" w:eastAsia="仿宋"/>
          <w:b/>
          <w:sz w:val="32"/>
          <w:szCs w:val="32"/>
        </w:rPr>
      </w:pPr>
    </w:p>
    <w:p>
      <w:pPr>
        <w:ind w:firstLine="643" w:firstLineChars="200"/>
        <w:rPr>
          <w:rFonts w:ascii="仿宋" w:hAnsi="仿宋" w:eastAsia="仿宋" w:cs="黑体"/>
          <w:sz w:val="28"/>
          <w:szCs w:val="28"/>
        </w:rPr>
      </w:pPr>
      <w:r>
        <w:rPr>
          <w:rFonts w:hint="eastAsia" w:cs="黑体" w:asciiTheme="minorEastAsia" w:hAnsiTheme="minorEastAsia"/>
          <w:b/>
          <w:bCs/>
          <w:sz w:val="32"/>
          <w:szCs w:val="32"/>
        </w:rPr>
        <w:t>三、标准验证情况</w:t>
      </w:r>
    </w:p>
    <w:p>
      <w:pPr>
        <w:pStyle w:val="24"/>
        <w:widowControl/>
        <w:spacing w:line="360" w:lineRule="auto"/>
        <w:ind w:firstLine="560"/>
        <w:rPr>
          <w:rFonts w:ascii="仿宋" w:hAnsi="仿宋" w:eastAsia="仿宋" w:cs="楷体"/>
          <w:sz w:val="28"/>
          <w:szCs w:val="28"/>
        </w:rPr>
      </w:pPr>
      <w:r>
        <w:rPr>
          <w:rFonts w:hint="eastAsia" w:ascii="仿宋" w:hAnsi="仿宋" w:eastAsia="仿宋"/>
          <w:sz w:val="28"/>
          <w:szCs w:val="28"/>
        </w:rPr>
        <w:t>起草组在起草标准相关框架以及结构、内容时，同北京时代商联供应链科技有限公司、上海大学现代物流研究中心、师帅（青岛）物流运营管理有限公司、河北冰峰供应链管理有限公司等单位相关专家面对面现场沟通交流，一致认为，修订后的《低温仓储作业规范》的标准内容，</w:t>
      </w:r>
      <w:r>
        <w:rPr>
          <w:rFonts w:hint="eastAsia" w:ascii="仿宋" w:hAnsi="仿宋" w:eastAsia="仿宋" w:cs="楷体"/>
          <w:sz w:val="28"/>
          <w:szCs w:val="28"/>
        </w:rPr>
        <w:t>架构更加清晰，逻辑更加具有层次感，有助于提升低温仓储作业水平，助力低温物品安全，推动冷链物流高质量发展。</w:t>
      </w:r>
    </w:p>
    <w:p>
      <w:pPr>
        <w:ind w:firstLine="643" w:firstLineChars="200"/>
        <w:rPr>
          <w:rFonts w:cs="黑体" w:asciiTheme="minorEastAsia" w:hAnsiTheme="minorEastAsia"/>
          <w:b/>
          <w:bCs/>
          <w:sz w:val="32"/>
          <w:szCs w:val="32"/>
        </w:rPr>
      </w:pPr>
      <w:r>
        <w:rPr>
          <w:rFonts w:hint="eastAsia" w:cs="黑体" w:asciiTheme="minorEastAsia" w:hAnsiTheme="minorEastAsia"/>
          <w:b/>
          <w:bCs/>
          <w:sz w:val="32"/>
          <w:szCs w:val="32"/>
        </w:rPr>
        <w:t>四、与国际、国外同类标准技术内容的对比情况</w:t>
      </w:r>
    </w:p>
    <w:p>
      <w:pPr>
        <w:pStyle w:val="24"/>
        <w:widowControl/>
        <w:adjustRightInd w:val="0"/>
        <w:snapToGrid w:val="0"/>
        <w:spacing w:line="360" w:lineRule="auto"/>
        <w:ind w:firstLine="560"/>
        <w:rPr>
          <w:rFonts w:ascii="仿宋" w:hAnsi="仿宋" w:eastAsia="仿宋" w:cs="楷体"/>
          <w:sz w:val="28"/>
          <w:szCs w:val="28"/>
        </w:rPr>
      </w:pPr>
      <w:r>
        <w:rPr>
          <w:rFonts w:hint="eastAsia" w:ascii="仿宋" w:hAnsi="仿宋" w:eastAsia="仿宋" w:cs="楷体"/>
          <w:sz w:val="28"/>
          <w:szCs w:val="28"/>
        </w:rPr>
        <w:t>无。</w:t>
      </w:r>
    </w:p>
    <w:p>
      <w:pPr>
        <w:ind w:firstLine="643" w:firstLineChars="200"/>
        <w:rPr>
          <w:rFonts w:cs="黑体" w:asciiTheme="minorEastAsia" w:hAnsiTheme="minorEastAsia"/>
          <w:b/>
          <w:bCs/>
          <w:sz w:val="32"/>
          <w:szCs w:val="32"/>
        </w:rPr>
      </w:pPr>
      <w:r>
        <w:rPr>
          <w:rFonts w:hint="eastAsia" w:cs="黑体" w:asciiTheme="minorEastAsia" w:hAnsiTheme="minorEastAsia"/>
          <w:b/>
          <w:bCs/>
          <w:sz w:val="32"/>
          <w:szCs w:val="32"/>
        </w:rPr>
        <w:t>五、引用或采用国际国外标准情况</w:t>
      </w:r>
    </w:p>
    <w:p>
      <w:pPr>
        <w:pStyle w:val="24"/>
        <w:widowControl/>
        <w:adjustRightInd w:val="0"/>
        <w:snapToGrid w:val="0"/>
        <w:spacing w:line="360" w:lineRule="auto"/>
        <w:ind w:firstLine="560"/>
        <w:rPr>
          <w:rFonts w:ascii="仿宋" w:hAnsi="仿宋" w:eastAsia="仿宋" w:cs="楷体"/>
          <w:sz w:val="28"/>
          <w:szCs w:val="28"/>
        </w:rPr>
      </w:pPr>
      <w:r>
        <w:rPr>
          <w:rFonts w:hint="eastAsia" w:ascii="仿宋" w:hAnsi="仿宋" w:eastAsia="仿宋" w:cs="楷体"/>
          <w:sz w:val="28"/>
          <w:szCs w:val="28"/>
        </w:rPr>
        <w:t>无。</w:t>
      </w:r>
    </w:p>
    <w:p>
      <w:pPr>
        <w:ind w:firstLine="643" w:firstLineChars="200"/>
        <w:rPr>
          <w:rFonts w:cs="黑体" w:asciiTheme="minorEastAsia" w:hAnsiTheme="minorEastAsia"/>
          <w:b/>
          <w:bCs/>
          <w:sz w:val="32"/>
          <w:szCs w:val="32"/>
        </w:rPr>
      </w:pPr>
      <w:r>
        <w:rPr>
          <w:rFonts w:hint="eastAsia" w:cs="黑体" w:asciiTheme="minorEastAsia" w:hAnsiTheme="minorEastAsia"/>
          <w:b/>
          <w:bCs/>
          <w:sz w:val="32"/>
          <w:szCs w:val="32"/>
        </w:rPr>
        <w:t>六、与有关法律、行政法规及相关标准的关系</w:t>
      </w:r>
    </w:p>
    <w:p>
      <w:pPr>
        <w:pStyle w:val="24"/>
        <w:widowControl/>
        <w:adjustRightInd w:val="0"/>
        <w:snapToGrid w:val="0"/>
        <w:spacing w:line="360" w:lineRule="auto"/>
        <w:ind w:firstLine="560"/>
        <w:rPr>
          <w:rFonts w:ascii="仿宋" w:hAnsi="仿宋" w:eastAsia="仿宋" w:cs="仿宋"/>
          <w:bCs/>
          <w:kern w:val="0"/>
          <w:sz w:val="28"/>
          <w:szCs w:val="28"/>
        </w:rPr>
      </w:pPr>
      <w:r>
        <w:rPr>
          <w:rFonts w:hint="eastAsia" w:ascii="仿宋" w:hAnsi="仿宋" w:eastAsia="仿宋" w:cs="仿宋"/>
          <w:bCs/>
          <w:kern w:val="0"/>
          <w:sz w:val="28"/>
          <w:szCs w:val="28"/>
        </w:rPr>
        <w:t>本标准所规定的条款符合国家现行的法律法规。在标准内容方面，本标准坚持一致性和协调性的原则，与其他标准不存在冲突情况。</w:t>
      </w:r>
    </w:p>
    <w:p>
      <w:pPr>
        <w:ind w:firstLine="643" w:firstLineChars="200"/>
        <w:rPr>
          <w:rFonts w:cs="黑体" w:asciiTheme="minorEastAsia" w:hAnsiTheme="minorEastAsia"/>
          <w:b/>
          <w:bCs/>
          <w:sz w:val="32"/>
          <w:szCs w:val="32"/>
        </w:rPr>
      </w:pPr>
      <w:r>
        <w:rPr>
          <w:rFonts w:hint="eastAsia" w:cs="黑体" w:asciiTheme="minorEastAsia" w:hAnsiTheme="minorEastAsia"/>
          <w:b/>
          <w:bCs/>
          <w:sz w:val="32"/>
          <w:szCs w:val="32"/>
        </w:rPr>
        <w:t>七、重大分歧意见的处理经过和依据</w:t>
      </w:r>
    </w:p>
    <w:p>
      <w:pPr>
        <w:pStyle w:val="24"/>
        <w:widowControl/>
        <w:adjustRightInd w:val="0"/>
        <w:snapToGrid w:val="0"/>
        <w:spacing w:line="360" w:lineRule="auto"/>
        <w:ind w:firstLine="560"/>
        <w:rPr>
          <w:rFonts w:ascii="仿宋" w:hAnsi="仿宋" w:eastAsia="仿宋" w:cs="楷体"/>
          <w:sz w:val="28"/>
          <w:szCs w:val="28"/>
        </w:rPr>
      </w:pPr>
      <w:r>
        <w:rPr>
          <w:rFonts w:hint="eastAsia" w:ascii="仿宋" w:hAnsi="仿宋" w:eastAsia="仿宋" w:cs="楷体"/>
          <w:sz w:val="28"/>
          <w:szCs w:val="28"/>
        </w:rPr>
        <w:t>无。</w:t>
      </w:r>
    </w:p>
    <w:p>
      <w:pPr>
        <w:ind w:firstLine="643" w:firstLineChars="200"/>
        <w:rPr>
          <w:rFonts w:cs="黑体" w:asciiTheme="minorEastAsia" w:hAnsiTheme="minorEastAsia"/>
          <w:b/>
          <w:bCs/>
          <w:sz w:val="32"/>
          <w:szCs w:val="32"/>
        </w:rPr>
      </w:pPr>
      <w:r>
        <w:rPr>
          <w:rFonts w:hint="eastAsia" w:cs="黑体" w:asciiTheme="minorEastAsia" w:hAnsiTheme="minorEastAsia"/>
          <w:b/>
          <w:bCs/>
          <w:sz w:val="32"/>
          <w:szCs w:val="32"/>
        </w:rPr>
        <w:t>八、涉及专利的有关说明</w:t>
      </w:r>
    </w:p>
    <w:p>
      <w:pPr>
        <w:pStyle w:val="24"/>
        <w:widowControl/>
        <w:adjustRightInd w:val="0"/>
        <w:snapToGrid w:val="0"/>
        <w:spacing w:line="360" w:lineRule="auto"/>
        <w:ind w:firstLine="560"/>
        <w:rPr>
          <w:rFonts w:ascii="仿宋" w:hAnsi="仿宋" w:eastAsia="仿宋" w:cs="黑体"/>
          <w:sz w:val="28"/>
          <w:szCs w:val="28"/>
        </w:rPr>
      </w:pPr>
      <w:r>
        <w:rPr>
          <w:rFonts w:hint="eastAsia" w:ascii="仿宋" w:hAnsi="仿宋" w:eastAsia="仿宋" w:cs="黑体"/>
          <w:sz w:val="28"/>
          <w:szCs w:val="28"/>
        </w:rPr>
        <w:t>无。</w:t>
      </w:r>
    </w:p>
    <w:p>
      <w:pPr>
        <w:ind w:firstLine="643" w:firstLineChars="200"/>
        <w:rPr>
          <w:rFonts w:cs="黑体" w:asciiTheme="minorEastAsia" w:hAnsiTheme="minorEastAsia"/>
          <w:b/>
          <w:bCs/>
          <w:sz w:val="32"/>
          <w:szCs w:val="32"/>
        </w:rPr>
      </w:pPr>
      <w:r>
        <w:rPr>
          <w:rFonts w:hint="eastAsia" w:cs="黑体" w:asciiTheme="minorEastAsia" w:hAnsiTheme="minorEastAsia"/>
          <w:b/>
          <w:bCs/>
          <w:sz w:val="32"/>
          <w:szCs w:val="32"/>
        </w:rPr>
        <w:t>九、实施建议</w:t>
      </w:r>
    </w:p>
    <w:p>
      <w:pPr>
        <w:pStyle w:val="24"/>
        <w:widowControl/>
        <w:adjustRightInd w:val="0"/>
        <w:snapToGrid w:val="0"/>
        <w:spacing w:line="360" w:lineRule="auto"/>
        <w:ind w:firstLine="560"/>
        <w:rPr>
          <w:rFonts w:ascii="仿宋" w:hAnsi="仿宋" w:eastAsia="仿宋" w:cs="仿宋"/>
          <w:sz w:val="28"/>
          <w:szCs w:val="28"/>
        </w:rPr>
      </w:pPr>
      <w:r>
        <w:rPr>
          <w:rFonts w:hint="eastAsia" w:ascii="仿宋" w:hAnsi="仿宋" w:eastAsia="仿宋" w:cs="仿宋"/>
          <w:bCs/>
          <w:kern w:val="0"/>
          <w:sz w:val="28"/>
          <w:szCs w:val="28"/>
        </w:rPr>
        <w:t>标准发布后，将由主要起草单位在行业内组织标准的宣贯、培训等活动，做好标准条文解读，适时编制解读教材，让社会各界、业内企业更好地了解标准、使用标准。与此同时，注意收集使用标准的各类机构对标准的反馈意见，适时对标准内容进行更新优化。</w:t>
      </w:r>
    </w:p>
    <w:p>
      <w:pPr>
        <w:ind w:firstLine="643" w:firstLineChars="200"/>
        <w:rPr>
          <w:rFonts w:cs="黑体" w:asciiTheme="minorEastAsia" w:hAnsiTheme="minorEastAsia"/>
          <w:b/>
          <w:bCs/>
          <w:sz w:val="32"/>
          <w:szCs w:val="32"/>
        </w:rPr>
      </w:pPr>
      <w:r>
        <w:rPr>
          <w:rFonts w:hint="eastAsia" w:cs="黑体" w:asciiTheme="minorEastAsia" w:hAnsiTheme="minorEastAsia"/>
          <w:b/>
          <w:bCs/>
          <w:sz w:val="32"/>
          <w:szCs w:val="32"/>
        </w:rPr>
        <w:t>十、其他应当说明的事项</w:t>
      </w:r>
    </w:p>
    <w:p>
      <w:pPr>
        <w:pStyle w:val="24"/>
        <w:widowControl/>
        <w:adjustRightInd w:val="0"/>
        <w:snapToGrid w:val="0"/>
        <w:spacing w:line="360" w:lineRule="auto"/>
        <w:ind w:firstLine="560"/>
        <w:rPr>
          <w:rFonts w:ascii="仿宋" w:hAnsi="仿宋" w:eastAsia="仿宋" w:cs="楷体"/>
          <w:sz w:val="28"/>
          <w:szCs w:val="28"/>
        </w:rPr>
      </w:pPr>
      <w:r>
        <w:rPr>
          <w:rFonts w:hint="eastAsia" w:ascii="仿宋" w:hAnsi="仿宋" w:eastAsia="仿宋" w:cs="楷体"/>
          <w:sz w:val="28"/>
          <w:szCs w:val="28"/>
        </w:rPr>
        <w:t>无。</w:t>
      </w:r>
    </w:p>
    <w:p>
      <w:pPr>
        <w:ind w:firstLine="560" w:firstLineChars="200"/>
        <w:rPr>
          <w:rFonts w:ascii="仿宋" w:hAnsi="仿宋" w:eastAsia="仿宋" w:cs="楷体"/>
          <w:bCs/>
          <w:sz w:val="28"/>
          <w:szCs w:val="28"/>
        </w:rPr>
      </w:pPr>
    </w:p>
    <w:p>
      <w:pPr>
        <w:ind w:firstLine="560" w:firstLineChars="200"/>
        <w:rPr>
          <w:rFonts w:ascii="仿宋" w:hAnsi="仿宋" w:eastAsia="仿宋" w:cs="仿宋"/>
          <w:bCs/>
          <w:kern w:val="0"/>
          <w:sz w:val="28"/>
          <w:szCs w:val="28"/>
        </w:rPr>
      </w:pPr>
    </w:p>
    <w:p>
      <w:pPr>
        <w:rPr>
          <w:rFonts w:ascii="仿宋" w:hAnsi="仿宋" w:eastAsia="仿宋" w:cs="黑体"/>
          <w:sz w:val="32"/>
          <w:szCs w:val="32"/>
        </w:rPr>
      </w:pPr>
    </w:p>
    <w:p>
      <w:pPr>
        <w:widowControl/>
        <w:jc w:val="left"/>
        <w:rPr>
          <w:rFonts w:ascii="仿宋" w:hAnsi="仿宋" w:eastAsia="仿宋" w:cs="黑体"/>
          <w:sz w:val="32"/>
          <w:szCs w:val="32"/>
        </w:rPr>
      </w:pPr>
      <w:r>
        <w:rPr>
          <w:rFonts w:ascii="仿宋" w:hAnsi="仿宋" w:eastAsia="仿宋" w:cs="黑体"/>
          <w:sz w:val="32"/>
          <w:szCs w:val="32"/>
        </w:rPr>
        <w:br w:type="page"/>
      </w:r>
    </w:p>
    <w:p>
      <w:pPr>
        <w:rPr>
          <w:rFonts w:ascii="仿宋" w:hAnsi="仿宋" w:eastAsia="仿宋" w:cs="黑体"/>
          <w:sz w:val="32"/>
          <w:szCs w:val="32"/>
        </w:rPr>
      </w:pPr>
      <w:r>
        <w:rPr>
          <w:rFonts w:hint="eastAsia" w:ascii="仿宋" w:hAnsi="仿宋" w:eastAsia="仿宋" w:cs="黑体"/>
          <w:sz w:val="32"/>
          <w:szCs w:val="32"/>
        </w:rPr>
        <w:t>附件</w:t>
      </w:r>
      <w:r>
        <w:rPr>
          <w:rFonts w:ascii="仿宋" w:hAnsi="仿宋" w:eastAsia="仿宋" w:cs="黑体"/>
          <w:sz w:val="32"/>
          <w:szCs w:val="32"/>
        </w:rPr>
        <w:t>1</w:t>
      </w:r>
      <w:r>
        <w:rPr>
          <w:rFonts w:hint="eastAsia" w:ascii="仿宋" w:hAnsi="仿宋" w:eastAsia="仿宋" w:cs="黑体"/>
          <w:sz w:val="32"/>
          <w:szCs w:val="32"/>
        </w:rPr>
        <w:t>：</w:t>
      </w:r>
    </w:p>
    <w:p>
      <w:pPr>
        <w:jc w:val="center"/>
        <w:rPr>
          <w:rFonts w:ascii="仿宋" w:hAnsi="仿宋" w:eastAsia="仿宋" w:cs="黑体"/>
          <w:bCs/>
          <w:sz w:val="32"/>
          <w:szCs w:val="32"/>
        </w:rPr>
      </w:pPr>
      <w:r>
        <w:rPr>
          <w:rFonts w:hint="eastAsia" w:ascii="仿宋" w:hAnsi="仿宋" w:eastAsia="仿宋" w:cs="黑体"/>
          <w:bCs/>
          <w:sz w:val="32"/>
          <w:szCs w:val="32"/>
        </w:rPr>
        <w:t>反馈企业名单</w:t>
      </w:r>
    </w:p>
    <w:p>
      <w:pPr>
        <w:widowControl/>
        <w:spacing w:line="360" w:lineRule="auto"/>
        <w:jc w:val="center"/>
        <w:textAlignment w:val="center"/>
        <w:rPr>
          <w:rFonts w:ascii="仿宋" w:hAnsi="仿宋" w:eastAsia="仿宋" w:cs="仿宋"/>
          <w:bCs/>
          <w:kern w:val="0"/>
          <w:szCs w:val="21"/>
          <w:lang w:bidi="ar"/>
        </w:rPr>
        <w:sectPr>
          <w:footerReference r:id="rId3" w:type="default"/>
          <w:pgSz w:w="11906" w:h="16838"/>
          <w:pgMar w:top="1440" w:right="1800" w:bottom="1440" w:left="1800" w:header="851" w:footer="992" w:gutter="0"/>
          <w:pgNumType w:fmt="decimal"/>
          <w:cols w:space="425" w:num="1"/>
          <w:docGrid w:type="lines" w:linePitch="312" w:charSpace="0"/>
        </w:sectPr>
      </w:pPr>
    </w:p>
    <w:tbl>
      <w:tblPr>
        <w:tblStyle w:val="7"/>
        <w:tblW w:w="4171" w:type="dxa"/>
        <w:jc w:val="center"/>
        <w:tblLayout w:type="autofit"/>
        <w:tblCellMar>
          <w:top w:w="0" w:type="dxa"/>
          <w:left w:w="108" w:type="dxa"/>
          <w:bottom w:w="0" w:type="dxa"/>
          <w:right w:w="108" w:type="dxa"/>
        </w:tblCellMar>
      </w:tblPr>
      <w:tblGrid>
        <w:gridCol w:w="596"/>
        <w:gridCol w:w="3575"/>
      </w:tblGrid>
      <w:tr>
        <w:trPr>
          <w:trHeight w:val="538" w:hRule="atLeast"/>
          <w:tblHeader/>
          <w:jc w:val="center"/>
        </w:trPr>
        <w:tc>
          <w:tcPr>
            <w:tcW w:w="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hint="eastAsia" w:ascii="仿宋_GB2312" w:eastAsia="仿宋_GB2312" w:cs="仿宋" w:hAnsiTheme="minorEastAsia"/>
                <w:bCs/>
                <w:kern w:val="0"/>
                <w:szCs w:val="21"/>
                <w:lang w:bidi="ar"/>
              </w:rPr>
              <w:t>序号</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hint="eastAsia" w:ascii="仿宋_GB2312" w:eastAsia="仿宋_GB2312" w:cs="仿宋" w:hAnsiTheme="minorEastAsia"/>
                <w:bCs/>
                <w:kern w:val="0"/>
                <w:szCs w:val="21"/>
                <w:lang w:bidi="ar"/>
              </w:rPr>
              <w:t>企业名称</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南京万纬冷链物流有限公司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徐州万纬冷链物流有限公司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苏州万纬冷链物流有限公司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上海万纬冷链物流有限公司济南分公司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师帅（青岛）物流运营管理有限公司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上海同华储运有限公司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7</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河南大河四季冷链物流有限公司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顺丰冷运</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9</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大连港毅都冷链有限公司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10</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天津融万冷链物流有限责任公司河南分公司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11</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天津融万冷链物流有限责任公司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12</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启橙中国</w:t>
            </w:r>
            <w:r>
              <w:rPr>
                <w:rFonts w:ascii="仿宋_GB2312" w:eastAsia="仿宋_GB2312" w:hAnsiTheme="minorEastAsia"/>
                <w:bCs/>
                <w:szCs w:val="21"/>
              </w:rPr>
              <w:t xml:space="preserve"> 启橙济南历城冷链中心</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13</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启橙中国</w:t>
            </w:r>
            <w:r>
              <w:rPr>
                <w:rFonts w:ascii="仿宋_GB2312" w:eastAsia="仿宋_GB2312" w:hAnsiTheme="minorEastAsia"/>
                <w:bCs/>
                <w:szCs w:val="21"/>
              </w:rPr>
              <w:t xml:space="preserve"> 启橙</w:t>
            </w:r>
            <w:r>
              <w:rPr>
                <w:rFonts w:hint="eastAsia" w:ascii="仿宋_GB2312" w:eastAsia="仿宋_GB2312" w:hAnsiTheme="minorEastAsia"/>
                <w:bCs/>
                <w:szCs w:val="21"/>
              </w:rPr>
              <w:t>武汉东西湖</w:t>
            </w:r>
            <w:r>
              <w:rPr>
                <w:rFonts w:ascii="仿宋_GB2312" w:eastAsia="仿宋_GB2312" w:hAnsiTheme="minorEastAsia"/>
                <w:bCs/>
                <w:szCs w:val="21"/>
              </w:rPr>
              <w:t>冷链中心</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14</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启橙中国</w:t>
            </w:r>
            <w:r>
              <w:rPr>
                <w:rFonts w:ascii="仿宋_GB2312" w:eastAsia="仿宋_GB2312" w:hAnsiTheme="minorEastAsia"/>
                <w:bCs/>
                <w:szCs w:val="21"/>
              </w:rPr>
              <w:t xml:space="preserve"> 启橙</w:t>
            </w:r>
            <w:r>
              <w:rPr>
                <w:rFonts w:hint="eastAsia" w:ascii="仿宋_GB2312" w:eastAsia="仿宋_GB2312" w:hAnsiTheme="minorEastAsia"/>
                <w:bCs/>
                <w:szCs w:val="21"/>
              </w:rPr>
              <w:t>郑州</w:t>
            </w:r>
            <w:r>
              <w:rPr>
                <w:rFonts w:ascii="仿宋_GB2312" w:eastAsia="仿宋_GB2312" w:hAnsiTheme="minorEastAsia"/>
                <w:bCs/>
                <w:szCs w:val="21"/>
              </w:rPr>
              <w:t>冷链中心</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15</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河北冰峰供应链管理有限公司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16</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广州市欧泰物流有限公司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17</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河北百岁肉类食品有限公司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ascii="仿宋_GB2312" w:eastAsia="仿宋_GB2312" w:hAnsiTheme="minorEastAsia"/>
                <w:bCs/>
                <w:szCs w:val="21"/>
              </w:rPr>
              <w:t>石家庄</w:t>
            </w:r>
            <w:r>
              <w:rPr>
                <w:rFonts w:ascii="仿宋_GB2312" w:eastAsia="仿宋_GB2312" w:hAnsiTheme="minorEastAsia"/>
              </w:rPr>
              <w:t>宝丰源</w:t>
            </w:r>
            <w:r>
              <w:rPr>
                <w:rFonts w:ascii="仿宋_GB2312" w:eastAsia="仿宋_GB2312" w:hAnsiTheme="minorEastAsia"/>
                <w:bCs/>
                <w:szCs w:val="21"/>
              </w:rPr>
              <w:t>商贸有限公司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19</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rPr>
              <w:t>北京亚冷控股有限公司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20</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湖南飓速物流有限公司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21</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安徽鑫合机电设备有限公司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22</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河南华鼎供应链管理有限公司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23</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天津兰玺冷链物流公司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24</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北方工程设计研究院有限公司深圳分公司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25</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中船重工海为郑州高科技有限公司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26</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深圳市顺航通供应链物流有限公司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27</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山东润启供应链管理有限公司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辽渔集团有限公司冷藏分公司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29</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南昌深农冷链物流有限公司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30</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上海添道节能科技有限公司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31</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德州飞马冷链物流有限公司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32</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山东海洋现代渔业有限公司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33</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上海锦江国际低温物流发展有限公司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34</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中冷高科（北京）环境技术有限公司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35</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广东省桂江冷链物流有限公司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36</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山东中仓物流有限公司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37</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河南新开元供应链管理有限公司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青岛敬明承运物流有限公司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39</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上海敬诚物流有限公司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40</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天津万事达物流装备有限公司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41</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河北澳润特物流装备有限公司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42</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北京容智惠远科技发展有限公司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43</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北京起重运输机械设计研究院有限公司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44</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北京快行线冷链物流有限公司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45</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济南维尔康实业有限公司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46</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华行（深圳）出行服务有限公司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47</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兰剑智能科技股份有限公司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深圳市兆航物流有限公司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49</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深圳市穗深冷气设备有限公司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50</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上海宁华供应链管理有限公司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51</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华晟（青岛）智能装备科技有限公司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52</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四川物通科技有限公司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53</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山东统超物流有限公司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54</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rPr>
              <w:t>山东盖世国际物流集团有限公司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55</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山东蓝鲸冷链物流有限公司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56</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浪潮数字粮储科技有限公司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57</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青岛永和迅物流储运有限公司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山东哈希生态科技有限公司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59</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山东鲁达包装有限公司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60</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海南智空间供应链科技有限公司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61</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山东圣豪云物流有限公司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62</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山东雅利安供应链管理集团有限公司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63</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济南众合供应链管理有限公司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64</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山东银座配送有限公司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65</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山东家家悦物流有限公司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66</w:t>
            </w:r>
          </w:p>
        </w:tc>
        <w:tc>
          <w:tcPr>
            <w:tcW w:w="3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福兴祥物流有限公司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67</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烟台齐畅供应链管理有限公司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海南罗牛山食品集团有限公司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szCs w:val="21"/>
              </w:rPr>
            </w:pPr>
            <w:r>
              <w:rPr>
                <w:rFonts w:ascii="仿宋_GB2312" w:eastAsia="仿宋_GB2312" w:cs="仿宋" w:hAnsiTheme="minorEastAsia"/>
                <w:bCs/>
                <w:kern w:val="0"/>
                <w:szCs w:val="21"/>
                <w:lang w:bidi="ar"/>
              </w:rPr>
              <w:t>69</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成都运荔枝科技有限公司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70</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天津宝鲜物流有限公司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71</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宇培供应链管理集团有限公司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72</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唯捷（厦门）供应链管理有限公司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73</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河南港新冷链物流有限公司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74</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远度云供应链科技有限公司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75</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冷运通（北京）信息科技有限公司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76</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北京时代商联供应链科技有限公司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77</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本来生活集团</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美团外卖</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79</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河南雪轮供应链管理有限公司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80</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红星冷链（湖南）股份有限公司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81</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深圳市清湖冷链有限公司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82</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重庆明品福集团有限公司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83</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陕西小熊供应链管理有限公司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84</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瑞云（深圳）冷链物流科技有限公司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85</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中通冷链</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86</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恒源冷链物流</w:t>
            </w:r>
            <w:r>
              <w:rPr>
                <w:rFonts w:ascii="仿宋_GB2312" w:eastAsia="仿宋_GB2312" w:hAnsiTheme="minorEastAsia"/>
                <w:bCs/>
                <w:szCs w:val="21"/>
              </w:rPr>
              <w:t>(深圳)有限公司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87</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广州拓远物流有限公司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武汉山绿冷链物流有限公司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89</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江西供销冷链科技有限公司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90</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北京中冷物流股份有限公司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91</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上海启橙企业发展有限公司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92</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中康信德能源贸易（江苏）有限公司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93</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安徽大生冷链有限公司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94</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镇江飞驰汽车集团有限责任公司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95</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深圳洲斯移动物联网技术有限公司</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96</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南京空港领航发展有限公司</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97</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江苏省物流产业促进会</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98</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山东省物流与采购协会</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99</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成都供应链协会</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100</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上海冷链协会</w:t>
            </w:r>
          </w:p>
        </w:tc>
      </w:tr>
      <w:tr>
        <w:tblPrEx>
          <w:tblCellMar>
            <w:top w:w="0" w:type="dxa"/>
            <w:left w:w="108" w:type="dxa"/>
            <w:bottom w:w="0" w:type="dxa"/>
            <w:right w:w="108" w:type="dxa"/>
          </w:tblCellMar>
        </w:tblPrEx>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101</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河南省物流协会</w:t>
            </w:r>
          </w:p>
        </w:tc>
      </w:tr>
      <w:tr>
        <w:trPr>
          <w:trHeight w:val="5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textAlignment w:val="center"/>
              <w:rPr>
                <w:rFonts w:ascii="仿宋_GB2312" w:eastAsia="仿宋_GB2312" w:cs="仿宋" w:hAnsiTheme="minorEastAsia"/>
                <w:bCs/>
                <w:kern w:val="0"/>
                <w:szCs w:val="21"/>
                <w:lang w:bidi="ar"/>
              </w:rPr>
            </w:pPr>
            <w:r>
              <w:rPr>
                <w:rFonts w:ascii="仿宋_GB2312" w:eastAsia="仿宋_GB2312" w:cs="仿宋" w:hAnsiTheme="minorEastAsia"/>
                <w:bCs/>
                <w:kern w:val="0"/>
                <w:szCs w:val="21"/>
                <w:lang w:bidi="ar"/>
              </w:rPr>
              <w:t>102</w:t>
            </w:r>
          </w:p>
        </w:tc>
        <w:tc>
          <w:tcPr>
            <w:tcW w:w="3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仿宋_GB2312" w:eastAsia="仿宋_GB2312" w:hAnsiTheme="minorEastAsia"/>
                <w:bCs/>
                <w:szCs w:val="21"/>
              </w:rPr>
            </w:pPr>
            <w:r>
              <w:rPr>
                <w:rFonts w:hint="eastAsia" w:ascii="仿宋_GB2312" w:eastAsia="仿宋_GB2312" w:hAnsiTheme="minorEastAsia"/>
                <w:bCs/>
                <w:szCs w:val="21"/>
              </w:rPr>
              <w:t>海南省交通运输协会</w:t>
            </w:r>
          </w:p>
        </w:tc>
      </w:tr>
    </w:tbl>
    <w:p>
      <w:pPr>
        <w:rPr>
          <w:rFonts w:ascii="仿宋" w:hAnsi="仿宋" w:eastAsia="仿宋"/>
          <w:bCs/>
          <w:szCs w:val="21"/>
        </w:rPr>
        <w:sectPr>
          <w:type w:val="continuous"/>
          <w:pgSz w:w="11906" w:h="16838"/>
          <w:pgMar w:top="1440" w:right="1800" w:bottom="1440" w:left="1800" w:header="851" w:footer="992" w:gutter="0"/>
          <w:pgNumType w:fmt="decimal"/>
          <w:cols w:space="425" w:num="2"/>
          <w:docGrid w:type="lines" w:linePitch="312" w:charSpace="0"/>
        </w:sectPr>
      </w:pPr>
    </w:p>
    <w:p>
      <w:pPr>
        <w:rPr>
          <w:rFonts w:ascii="仿宋" w:hAnsi="仿宋" w:eastAsia="仿宋"/>
          <w:bCs/>
          <w:szCs w:val="21"/>
        </w:rPr>
      </w:pPr>
    </w:p>
    <w:p>
      <w:pPr>
        <w:pStyle w:val="24"/>
        <w:widowControl/>
        <w:ind w:firstLine="0" w:firstLineChars="0"/>
        <w:rPr>
          <w:rFonts w:ascii="仿宋" w:hAnsi="仿宋" w:eastAsia="仿宋" w:cs="仿宋"/>
          <w:bCs/>
          <w:kern w:val="0"/>
          <w:sz w:val="28"/>
          <w:szCs w:val="28"/>
        </w:rPr>
      </w:pPr>
    </w:p>
    <w:sectPr>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8"/>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40"/>
      <w:suff w:val="nothing"/>
      <w:lvlText w:val="%1.%2.%3　"/>
      <w:lvlJc w:val="left"/>
      <w:pPr>
        <w:ind w:left="0" w:firstLine="0"/>
      </w:pPr>
      <w:rPr>
        <w:rFonts w:hint="eastAsia" w:ascii="黑体" w:hAnsi="Times New Roman" w:eastAsia="黑体"/>
        <w:b w:val="0"/>
        <w:i w:val="0"/>
        <w:sz w:val="21"/>
      </w:rPr>
    </w:lvl>
    <w:lvl w:ilvl="3" w:tentative="0">
      <w:start w:val="1"/>
      <w:numFmt w:val="decimal"/>
      <w:pStyle w:val="41"/>
      <w:suff w:val="nothing"/>
      <w:lvlText w:val="%1.%2.%3.%4　"/>
      <w:lvlJc w:val="left"/>
      <w:pPr>
        <w:ind w:left="0" w:firstLine="0"/>
      </w:pPr>
      <w:rPr>
        <w:rFonts w:hint="eastAsia" w:ascii="黑体" w:hAnsi="Times New Roman" w:eastAsia="黑体"/>
        <w:b w:val="0"/>
        <w:i w:val="0"/>
        <w:sz w:val="21"/>
      </w:rPr>
    </w:lvl>
    <w:lvl w:ilvl="4" w:tentative="0">
      <w:start w:val="1"/>
      <w:numFmt w:val="decimal"/>
      <w:pStyle w:val="42"/>
      <w:suff w:val="nothing"/>
      <w:lvlText w:val="%1.%2.%3.%4.%5　"/>
      <w:lvlJc w:val="left"/>
      <w:pPr>
        <w:ind w:left="0" w:firstLine="0"/>
      </w:pPr>
      <w:rPr>
        <w:rFonts w:hint="eastAsia" w:ascii="黑体" w:hAnsi="Times New Roman" w:eastAsia="黑体"/>
        <w:b w:val="0"/>
        <w:i w:val="0"/>
        <w:sz w:val="21"/>
      </w:rPr>
    </w:lvl>
    <w:lvl w:ilvl="5" w:tentative="0">
      <w:start w:val="1"/>
      <w:numFmt w:val="decimal"/>
      <w:pStyle w:val="43"/>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3EC25D3E"/>
    <w:multiLevelType w:val="singleLevel"/>
    <w:tmpl w:val="3EC25D3E"/>
    <w:lvl w:ilvl="0" w:tentative="0">
      <w:start w:val="1"/>
      <w:numFmt w:val="decimal"/>
      <w:suff w:val="space"/>
      <w:lvlText w:val="%1."/>
      <w:lvlJc w:val="left"/>
    </w:lvl>
  </w:abstractNum>
  <w:abstractNum w:abstractNumId="2">
    <w:nsid w:val="44C50F90"/>
    <w:multiLevelType w:val="multilevel"/>
    <w:tmpl w:val="44C50F90"/>
    <w:lvl w:ilvl="0" w:tentative="0">
      <w:start w:val="1"/>
      <w:numFmt w:val="lowerLetter"/>
      <w:pStyle w:val="1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8"/>
      <w:lvlText w:val="%2)"/>
      <w:lvlJc w:val="left"/>
      <w:pPr>
        <w:tabs>
          <w:tab w:val="left" w:pos="1260"/>
        </w:tabs>
        <w:ind w:left="1259" w:hanging="419"/>
      </w:pPr>
      <w:rPr>
        <w:rFonts w:hint="eastAsia"/>
      </w:rPr>
    </w:lvl>
    <w:lvl w:ilvl="2" w:tentative="0">
      <w:start w:val="1"/>
      <w:numFmt w:val="decimal"/>
      <w:pStyle w:val="37"/>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6CEA2025"/>
    <w:multiLevelType w:val="multilevel"/>
    <w:tmpl w:val="6CEA2025"/>
    <w:lvl w:ilvl="0" w:tentative="0">
      <w:start w:val="1"/>
      <w:numFmt w:val="none"/>
      <w:pStyle w:val="34"/>
      <w:suff w:val="nothing"/>
      <w:lvlText w:val="%1"/>
      <w:lvlJc w:val="left"/>
      <w:pPr>
        <w:ind w:left="0" w:firstLine="0"/>
      </w:pPr>
      <w:rPr>
        <w:rFonts w:hint="eastAsia"/>
      </w:rPr>
    </w:lvl>
    <w:lvl w:ilvl="1" w:tentative="0">
      <w:start w:val="1"/>
      <w:numFmt w:val="decimal"/>
      <w:pStyle w:val="32"/>
      <w:suff w:val="nothing"/>
      <w:lvlText w:val="%1%2　"/>
      <w:lvlJc w:val="left"/>
      <w:pPr>
        <w:ind w:left="0" w:firstLine="0"/>
      </w:pPr>
      <w:rPr>
        <w:rFonts w:hint="eastAsia" w:ascii="黑体" w:eastAsia="黑体"/>
        <w:b w:val="0"/>
        <w:i w:val="0"/>
        <w:sz w:val="21"/>
      </w:rPr>
    </w:lvl>
    <w:lvl w:ilvl="2" w:tentative="0">
      <w:start w:val="1"/>
      <w:numFmt w:val="decimal"/>
      <w:pStyle w:val="33"/>
      <w:suff w:val="nothing"/>
      <w:lvlText w:val="%1%2.%3　"/>
      <w:lvlJc w:val="left"/>
      <w:pPr>
        <w:ind w:left="426"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28"/>
      <w:suff w:val="nothing"/>
      <w:lvlText w:val="%1%2.%3.%4　"/>
      <w:lvlJc w:val="left"/>
      <w:pPr>
        <w:ind w:left="2126" w:firstLine="0"/>
      </w:pPr>
      <w:rPr>
        <w:rFonts w:hint="eastAsia" w:ascii="黑体" w:eastAsia="黑体"/>
        <w:b w:val="0"/>
        <w:i w:val="0"/>
        <w:sz w:val="21"/>
      </w:rPr>
    </w:lvl>
    <w:lvl w:ilvl="4" w:tentative="0">
      <w:start w:val="1"/>
      <w:numFmt w:val="decimal"/>
      <w:pStyle w:val="29"/>
      <w:suff w:val="nothing"/>
      <w:lvlText w:val="%1%2.%3.%4.%5　"/>
      <w:lvlJc w:val="left"/>
      <w:pPr>
        <w:ind w:left="426" w:firstLine="0"/>
      </w:pPr>
      <w:rPr>
        <w:rFonts w:hint="eastAsia" w:ascii="黑体" w:eastAsia="黑体"/>
        <w:b w:val="0"/>
        <w:i w:val="0"/>
        <w:sz w:val="21"/>
      </w:rPr>
    </w:lvl>
    <w:lvl w:ilvl="5" w:tentative="0">
      <w:start w:val="1"/>
      <w:numFmt w:val="decimal"/>
      <w:pStyle w:val="30"/>
      <w:suff w:val="nothing"/>
      <w:lvlText w:val="%1%2.%3.%4.%5.%6　"/>
      <w:lvlJc w:val="left"/>
      <w:pPr>
        <w:ind w:left="0" w:firstLine="0"/>
      </w:pPr>
      <w:rPr>
        <w:rFonts w:hint="eastAsia" w:ascii="黑体" w:eastAsia="黑体"/>
        <w:b w:val="0"/>
        <w:i w:val="0"/>
        <w:sz w:val="21"/>
      </w:rPr>
    </w:lvl>
    <w:lvl w:ilvl="6" w:tentative="0">
      <w:start w:val="1"/>
      <w:numFmt w:val="decimal"/>
      <w:pStyle w:val="31"/>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6DBF04F4"/>
    <w:multiLevelType w:val="multilevel"/>
    <w:tmpl w:val="6DBF04F4"/>
    <w:lvl w:ilvl="0" w:tentative="0">
      <w:start w:val="1"/>
      <w:numFmt w:val="none"/>
      <w:pStyle w:val="36"/>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2MzdkMTAwM2Q2ODhiN2FiZmQ4N2RjNWJiNzUwMGMifQ=="/>
  </w:docVars>
  <w:rsids>
    <w:rsidRoot w:val="3B6644BA"/>
    <w:rsid w:val="00005BFC"/>
    <w:rsid w:val="00012D33"/>
    <w:rsid w:val="0001490E"/>
    <w:rsid w:val="0003008F"/>
    <w:rsid w:val="00036D5E"/>
    <w:rsid w:val="0004031E"/>
    <w:rsid w:val="00063397"/>
    <w:rsid w:val="00072E69"/>
    <w:rsid w:val="00086EAF"/>
    <w:rsid w:val="00091AB8"/>
    <w:rsid w:val="0009415A"/>
    <w:rsid w:val="00094EAD"/>
    <w:rsid w:val="000964E1"/>
    <w:rsid w:val="000B2922"/>
    <w:rsid w:val="000B5B09"/>
    <w:rsid w:val="000B6763"/>
    <w:rsid w:val="000E2EFB"/>
    <w:rsid w:val="000F3B32"/>
    <w:rsid w:val="000F4316"/>
    <w:rsid w:val="001202D8"/>
    <w:rsid w:val="00120884"/>
    <w:rsid w:val="00120DA3"/>
    <w:rsid w:val="00137277"/>
    <w:rsid w:val="001413EB"/>
    <w:rsid w:val="0014167F"/>
    <w:rsid w:val="00152DBF"/>
    <w:rsid w:val="0015307B"/>
    <w:rsid w:val="00161F07"/>
    <w:rsid w:val="001A5C1A"/>
    <w:rsid w:val="001C37E0"/>
    <w:rsid w:val="001C57E7"/>
    <w:rsid w:val="001D07E7"/>
    <w:rsid w:val="001E1778"/>
    <w:rsid w:val="001E44D9"/>
    <w:rsid w:val="00237499"/>
    <w:rsid w:val="00240865"/>
    <w:rsid w:val="00244ECF"/>
    <w:rsid w:val="0026248C"/>
    <w:rsid w:val="00286005"/>
    <w:rsid w:val="002B5289"/>
    <w:rsid w:val="002B7F1D"/>
    <w:rsid w:val="002C56EE"/>
    <w:rsid w:val="002F2938"/>
    <w:rsid w:val="00313834"/>
    <w:rsid w:val="00327100"/>
    <w:rsid w:val="003343EA"/>
    <w:rsid w:val="003354F1"/>
    <w:rsid w:val="00350F8B"/>
    <w:rsid w:val="00351A53"/>
    <w:rsid w:val="003643C4"/>
    <w:rsid w:val="00364B1A"/>
    <w:rsid w:val="003700C5"/>
    <w:rsid w:val="003A5805"/>
    <w:rsid w:val="003A5956"/>
    <w:rsid w:val="003C5473"/>
    <w:rsid w:val="003C72E9"/>
    <w:rsid w:val="003F17A3"/>
    <w:rsid w:val="003F274B"/>
    <w:rsid w:val="003F7A0C"/>
    <w:rsid w:val="0040079A"/>
    <w:rsid w:val="004151AA"/>
    <w:rsid w:val="00423093"/>
    <w:rsid w:val="00423573"/>
    <w:rsid w:val="00430FEF"/>
    <w:rsid w:val="00445E66"/>
    <w:rsid w:val="0045570C"/>
    <w:rsid w:val="00466E8D"/>
    <w:rsid w:val="00472111"/>
    <w:rsid w:val="0047458F"/>
    <w:rsid w:val="004963CE"/>
    <w:rsid w:val="004A2A18"/>
    <w:rsid w:val="004B225D"/>
    <w:rsid w:val="004C4049"/>
    <w:rsid w:val="004D6693"/>
    <w:rsid w:val="00540D55"/>
    <w:rsid w:val="00546298"/>
    <w:rsid w:val="00565DCB"/>
    <w:rsid w:val="00566DB4"/>
    <w:rsid w:val="0057470D"/>
    <w:rsid w:val="005821AB"/>
    <w:rsid w:val="005861AD"/>
    <w:rsid w:val="00586FAB"/>
    <w:rsid w:val="00594E01"/>
    <w:rsid w:val="005B2EFC"/>
    <w:rsid w:val="005C4365"/>
    <w:rsid w:val="005E0F8D"/>
    <w:rsid w:val="005E3F55"/>
    <w:rsid w:val="005F74C1"/>
    <w:rsid w:val="00603510"/>
    <w:rsid w:val="00615B6E"/>
    <w:rsid w:val="00630ECB"/>
    <w:rsid w:val="0063186E"/>
    <w:rsid w:val="00642EAC"/>
    <w:rsid w:val="006616FB"/>
    <w:rsid w:val="0066243F"/>
    <w:rsid w:val="00665251"/>
    <w:rsid w:val="00666D3F"/>
    <w:rsid w:val="0067150B"/>
    <w:rsid w:val="00671FE8"/>
    <w:rsid w:val="006A0168"/>
    <w:rsid w:val="006A7DED"/>
    <w:rsid w:val="006A7E50"/>
    <w:rsid w:val="006B5A69"/>
    <w:rsid w:val="006D0C96"/>
    <w:rsid w:val="006D1F3A"/>
    <w:rsid w:val="006E3971"/>
    <w:rsid w:val="006E5B2A"/>
    <w:rsid w:val="007060AC"/>
    <w:rsid w:val="007107BA"/>
    <w:rsid w:val="00731D2F"/>
    <w:rsid w:val="00732EED"/>
    <w:rsid w:val="00746651"/>
    <w:rsid w:val="00750580"/>
    <w:rsid w:val="00751916"/>
    <w:rsid w:val="00760D5B"/>
    <w:rsid w:val="00761F21"/>
    <w:rsid w:val="0076249F"/>
    <w:rsid w:val="007725DA"/>
    <w:rsid w:val="007946B6"/>
    <w:rsid w:val="00794DAB"/>
    <w:rsid w:val="007B4CA7"/>
    <w:rsid w:val="007C1BF0"/>
    <w:rsid w:val="007D7264"/>
    <w:rsid w:val="007F796B"/>
    <w:rsid w:val="0080621B"/>
    <w:rsid w:val="00813F9C"/>
    <w:rsid w:val="0084179E"/>
    <w:rsid w:val="008452CC"/>
    <w:rsid w:val="008454A3"/>
    <w:rsid w:val="00860D68"/>
    <w:rsid w:val="00861B5C"/>
    <w:rsid w:val="0087026B"/>
    <w:rsid w:val="00873D8C"/>
    <w:rsid w:val="00876AA9"/>
    <w:rsid w:val="008A43B6"/>
    <w:rsid w:val="008A529D"/>
    <w:rsid w:val="008A721B"/>
    <w:rsid w:val="008C3A48"/>
    <w:rsid w:val="00901258"/>
    <w:rsid w:val="00903FAF"/>
    <w:rsid w:val="009201A1"/>
    <w:rsid w:val="0095683B"/>
    <w:rsid w:val="00961F6C"/>
    <w:rsid w:val="00967497"/>
    <w:rsid w:val="009708A7"/>
    <w:rsid w:val="0097734A"/>
    <w:rsid w:val="009927A3"/>
    <w:rsid w:val="009A3319"/>
    <w:rsid w:val="009B7B4C"/>
    <w:rsid w:val="009C3280"/>
    <w:rsid w:val="009D0CB5"/>
    <w:rsid w:val="009E1E55"/>
    <w:rsid w:val="009F624F"/>
    <w:rsid w:val="00A03F74"/>
    <w:rsid w:val="00A068FC"/>
    <w:rsid w:val="00A11C3F"/>
    <w:rsid w:val="00A12CFC"/>
    <w:rsid w:val="00A23288"/>
    <w:rsid w:val="00A47659"/>
    <w:rsid w:val="00A5747B"/>
    <w:rsid w:val="00A70979"/>
    <w:rsid w:val="00A75B00"/>
    <w:rsid w:val="00A77D04"/>
    <w:rsid w:val="00A96C45"/>
    <w:rsid w:val="00AB112F"/>
    <w:rsid w:val="00B0100F"/>
    <w:rsid w:val="00B06E10"/>
    <w:rsid w:val="00B07684"/>
    <w:rsid w:val="00B07B41"/>
    <w:rsid w:val="00B52A69"/>
    <w:rsid w:val="00B52CF4"/>
    <w:rsid w:val="00B817E3"/>
    <w:rsid w:val="00B951D3"/>
    <w:rsid w:val="00BB157D"/>
    <w:rsid w:val="00BD0C7B"/>
    <w:rsid w:val="00BE3F4B"/>
    <w:rsid w:val="00BF3C65"/>
    <w:rsid w:val="00BF6D78"/>
    <w:rsid w:val="00C001F2"/>
    <w:rsid w:val="00C02189"/>
    <w:rsid w:val="00C24CF7"/>
    <w:rsid w:val="00C27E81"/>
    <w:rsid w:val="00C46226"/>
    <w:rsid w:val="00C47208"/>
    <w:rsid w:val="00C53519"/>
    <w:rsid w:val="00C60E83"/>
    <w:rsid w:val="00C62D34"/>
    <w:rsid w:val="00C64532"/>
    <w:rsid w:val="00C7619E"/>
    <w:rsid w:val="00C77115"/>
    <w:rsid w:val="00C83502"/>
    <w:rsid w:val="00C843CB"/>
    <w:rsid w:val="00C8570D"/>
    <w:rsid w:val="00C93273"/>
    <w:rsid w:val="00CB230F"/>
    <w:rsid w:val="00CF794C"/>
    <w:rsid w:val="00D00A24"/>
    <w:rsid w:val="00D023CE"/>
    <w:rsid w:val="00D02CFA"/>
    <w:rsid w:val="00D133CE"/>
    <w:rsid w:val="00D27003"/>
    <w:rsid w:val="00D40FD8"/>
    <w:rsid w:val="00D41A26"/>
    <w:rsid w:val="00D456FD"/>
    <w:rsid w:val="00D71954"/>
    <w:rsid w:val="00D774C6"/>
    <w:rsid w:val="00D83FDE"/>
    <w:rsid w:val="00D97155"/>
    <w:rsid w:val="00DA3957"/>
    <w:rsid w:val="00DA6A0B"/>
    <w:rsid w:val="00DB1E55"/>
    <w:rsid w:val="00DB323D"/>
    <w:rsid w:val="00DD1ED9"/>
    <w:rsid w:val="00DD28DE"/>
    <w:rsid w:val="00DF0067"/>
    <w:rsid w:val="00E04535"/>
    <w:rsid w:val="00E1130F"/>
    <w:rsid w:val="00E138AC"/>
    <w:rsid w:val="00E14F5F"/>
    <w:rsid w:val="00E36EB2"/>
    <w:rsid w:val="00E6021A"/>
    <w:rsid w:val="00E76B0A"/>
    <w:rsid w:val="00E81EF7"/>
    <w:rsid w:val="00E85FE2"/>
    <w:rsid w:val="00E907E9"/>
    <w:rsid w:val="00E9163E"/>
    <w:rsid w:val="00EA286D"/>
    <w:rsid w:val="00EB3170"/>
    <w:rsid w:val="00EB7B8B"/>
    <w:rsid w:val="00ED7AA0"/>
    <w:rsid w:val="00EE4121"/>
    <w:rsid w:val="00EF0D50"/>
    <w:rsid w:val="00F021B0"/>
    <w:rsid w:val="00F138CF"/>
    <w:rsid w:val="00F1692F"/>
    <w:rsid w:val="00F214A4"/>
    <w:rsid w:val="00F334ED"/>
    <w:rsid w:val="00F5089E"/>
    <w:rsid w:val="00F53D36"/>
    <w:rsid w:val="00F822CF"/>
    <w:rsid w:val="00F853E7"/>
    <w:rsid w:val="00F8582C"/>
    <w:rsid w:val="00FA183B"/>
    <w:rsid w:val="00FA39DE"/>
    <w:rsid w:val="00FA5C3A"/>
    <w:rsid w:val="00FC74E9"/>
    <w:rsid w:val="00FF4235"/>
    <w:rsid w:val="040C7A20"/>
    <w:rsid w:val="120B365E"/>
    <w:rsid w:val="147C5D16"/>
    <w:rsid w:val="1D8316F5"/>
    <w:rsid w:val="27B25E69"/>
    <w:rsid w:val="2CC3523C"/>
    <w:rsid w:val="2D855015"/>
    <w:rsid w:val="3B6644BA"/>
    <w:rsid w:val="4B7E0783"/>
    <w:rsid w:val="4EB03197"/>
    <w:rsid w:val="4EB64BD7"/>
    <w:rsid w:val="4FBD3D43"/>
    <w:rsid w:val="73D94CFF"/>
    <w:rsid w:val="747E5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2"/>
    <w:uiPriority w:val="99"/>
    <w:pPr>
      <w:jc w:val="left"/>
    </w:pPr>
  </w:style>
  <w:style w:type="paragraph" w:styleId="3">
    <w:name w:val="Balloon Text"/>
    <w:basedOn w:val="1"/>
    <w:link w:val="21"/>
    <w:qFormat/>
    <w:uiPriority w:val="0"/>
    <w:rPr>
      <w:sz w:val="18"/>
      <w:szCs w:val="18"/>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23"/>
    <w:qFormat/>
    <w:uiPriority w:val="0"/>
    <w:rPr>
      <w:b/>
      <w:bCs/>
    </w:rPr>
  </w:style>
  <w:style w:type="table" w:styleId="8">
    <w:name w:val="Table Grid"/>
    <w:basedOn w:val="7"/>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Emphasis"/>
    <w:basedOn w:val="9"/>
    <w:qFormat/>
    <w:uiPriority w:val="20"/>
    <w:rPr>
      <w:i/>
      <w:iCs/>
    </w:rPr>
  </w:style>
  <w:style w:type="character" w:styleId="12">
    <w:name w:val="Hyperlink"/>
    <w:basedOn w:val="9"/>
    <w:qFormat/>
    <w:uiPriority w:val="0"/>
    <w:rPr>
      <w:color w:val="0000FF"/>
      <w:u w:val="single"/>
    </w:rPr>
  </w:style>
  <w:style w:type="character" w:styleId="13">
    <w:name w:val="annotation reference"/>
    <w:basedOn w:val="9"/>
    <w:qFormat/>
    <w:uiPriority w:val="99"/>
    <w:rPr>
      <w:sz w:val="21"/>
      <w:szCs w:val="21"/>
    </w:rPr>
  </w:style>
  <w:style w:type="character" w:customStyle="1" w:styleId="14">
    <w:name w:val="页眉 字符"/>
    <w:basedOn w:val="9"/>
    <w:link w:val="5"/>
    <w:qFormat/>
    <w:uiPriority w:val="0"/>
    <w:rPr>
      <w:kern w:val="2"/>
      <w:sz w:val="18"/>
      <w:szCs w:val="18"/>
    </w:rPr>
  </w:style>
  <w:style w:type="character" w:customStyle="1" w:styleId="15">
    <w:name w:val="页脚 字符"/>
    <w:basedOn w:val="9"/>
    <w:link w:val="4"/>
    <w:qFormat/>
    <w:uiPriority w:val="0"/>
    <w:rPr>
      <w:kern w:val="2"/>
      <w:sz w:val="18"/>
      <w:szCs w:val="18"/>
    </w:rPr>
  </w:style>
  <w:style w:type="paragraph" w:customStyle="1" w:styleId="16">
    <w:name w:val="段"/>
    <w:link w:val="1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7">
    <w:name w:val="段 Char"/>
    <w:basedOn w:val="9"/>
    <w:link w:val="16"/>
    <w:qFormat/>
    <w:uiPriority w:val="0"/>
    <w:rPr>
      <w:rFonts w:ascii="宋体" w:hAnsi="Times New Roman" w:eastAsia="宋体" w:cs="Times New Roman"/>
      <w:sz w:val="21"/>
    </w:rPr>
  </w:style>
  <w:style w:type="paragraph" w:customStyle="1" w:styleId="18">
    <w:name w:val="数字编号列项（二级）"/>
    <w:qFormat/>
    <w:uiPriority w:val="0"/>
    <w:pPr>
      <w:numPr>
        <w:ilvl w:val="1"/>
        <w:numId w:val="1"/>
      </w:numPr>
      <w:jc w:val="both"/>
    </w:pPr>
    <w:rPr>
      <w:rFonts w:ascii="宋体" w:hAnsi="Times New Roman" w:eastAsia="宋体" w:cs="Times New Roman"/>
      <w:sz w:val="21"/>
      <w:lang w:val="en-US" w:eastAsia="zh-CN" w:bidi="ar-SA"/>
    </w:rPr>
  </w:style>
  <w:style w:type="paragraph" w:customStyle="1" w:styleId="19">
    <w:name w:val="字母编号列项（一级）"/>
    <w:qFormat/>
    <w:uiPriority w:val="0"/>
    <w:pPr>
      <w:numPr>
        <w:ilvl w:val="0"/>
        <w:numId w:val="1"/>
      </w:numPr>
      <w:jc w:val="both"/>
    </w:pPr>
    <w:rPr>
      <w:rFonts w:ascii="宋体" w:hAnsi="Times New Roman" w:eastAsia="宋体" w:cs="Times New Roman"/>
      <w:sz w:val="21"/>
      <w:lang w:val="en-US" w:eastAsia="zh-CN" w:bidi="ar-SA"/>
    </w:rPr>
  </w:style>
  <w:style w:type="paragraph" w:customStyle="1" w:styleId="20">
    <w:name w:val="标准文件_表格"/>
    <w:basedOn w:val="1"/>
    <w:qFormat/>
    <w:uiPriority w:val="0"/>
    <w:pPr>
      <w:widowControl/>
      <w:autoSpaceDE w:val="0"/>
      <w:autoSpaceDN w:val="0"/>
      <w:jc w:val="center"/>
    </w:pPr>
    <w:rPr>
      <w:rFonts w:ascii="宋体" w:hAnsi="Times New Roman" w:eastAsia="宋体" w:cs="Times New Roman"/>
      <w:kern w:val="0"/>
      <w:sz w:val="18"/>
      <w:szCs w:val="20"/>
    </w:rPr>
  </w:style>
  <w:style w:type="character" w:customStyle="1" w:styleId="21">
    <w:name w:val="批注框文本 字符"/>
    <w:basedOn w:val="9"/>
    <w:link w:val="3"/>
    <w:qFormat/>
    <w:uiPriority w:val="0"/>
    <w:rPr>
      <w:kern w:val="2"/>
      <w:sz w:val="18"/>
      <w:szCs w:val="18"/>
    </w:rPr>
  </w:style>
  <w:style w:type="character" w:customStyle="1" w:styleId="22">
    <w:name w:val="批注文字 字符"/>
    <w:basedOn w:val="9"/>
    <w:link w:val="2"/>
    <w:qFormat/>
    <w:uiPriority w:val="99"/>
    <w:rPr>
      <w:kern w:val="2"/>
      <w:sz w:val="21"/>
      <w:szCs w:val="24"/>
    </w:rPr>
  </w:style>
  <w:style w:type="character" w:customStyle="1" w:styleId="23">
    <w:name w:val="批注主题 字符"/>
    <w:basedOn w:val="22"/>
    <w:link w:val="6"/>
    <w:qFormat/>
    <w:uiPriority w:val="0"/>
    <w:rPr>
      <w:b/>
      <w:bCs/>
      <w:kern w:val="2"/>
      <w:sz w:val="21"/>
      <w:szCs w:val="24"/>
    </w:rPr>
  </w:style>
  <w:style w:type="paragraph" w:styleId="24">
    <w:name w:val="List Paragraph"/>
    <w:basedOn w:val="1"/>
    <w:qFormat/>
    <w:uiPriority w:val="34"/>
    <w:pPr>
      <w:ind w:firstLine="420" w:firstLineChars="200"/>
    </w:pPr>
    <w:rPr>
      <w:szCs w:val="22"/>
    </w:rPr>
  </w:style>
  <w:style w:type="paragraph" w:customStyle="1" w:styleId="25">
    <w:name w:val="标准文件_段"/>
    <w:link w:val="2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6">
    <w:name w:val="标准文件_段 Char"/>
    <w:link w:val="25"/>
    <w:qFormat/>
    <w:uiPriority w:val="0"/>
    <w:rPr>
      <w:rFonts w:ascii="宋体" w:hAnsi="Times New Roman" w:eastAsia="宋体" w:cs="Times New Roman"/>
      <w:sz w:val="21"/>
    </w:rPr>
  </w:style>
  <w:style w:type="paragraph" w:customStyle="1" w:styleId="27">
    <w:name w:val="标准文件_术语条一"/>
    <w:basedOn w:val="1"/>
    <w:next w:val="25"/>
    <w:qFormat/>
    <w:uiPriority w:val="0"/>
    <w:pPr>
      <w:widowControl/>
      <w:numPr>
        <w:ilvl w:val="2"/>
        <w:numId w:val="2"/>
      </w:numPr>
    </w:pPr>
    <w:rPr>
      <w:rFonts w:ascii="宋体" w:hAnsi="Times New Roman" w:eastAsia="宋体" w:cs="Times New Roman"/>
      <w:kern w:val="0"/>
      <w:szCs w:val="20"/>
    </w:rPr>
  </w:style>
  <w:style w:type="paragraph" w:customStyle="1" w:styleId="28">
    <w:name w:val="标准文件_二级条标题"/>
    <w:next w:val="25"/>
    <w:qFormat/>
    <w:uiPriority w:val="0"/>
    <w:pPr>
      <w:widowControl w:val="0"/>
      <w:numPr>
        <w:ilvl w:val="3"/>
        <w:numId w:val="3"/>
      </w:numPr>
      <w:spacing w:before="50" w:beforeLines="50" w:after="50" w:afterLines="50"/>
      <w:ind w:left="0"/>
      <w:jc w:val="both"/>
      <w:outlineLvl w:val="2"/>
    </w:pPr>
    <w:rPr>
      <w:rFonts w:ascii="黑体" w:hAnsi="Times New Roman" w:eastAsia="黑体" w:cs="Times New Roman"/>
      <w:sz w:val="21"/>
      <w:lang w:val="en-US" w:eastAsia="zh-CN" w:bidi="ar-SA"/>
    </w:rPr>
  </w:style>
  <w:style w:type="paragraph" w:customStyle="1" w:styleId="29">
    <w:name w:val="标准文件_三级条标题"/>
    <w:basedOn w:val="28"/>
    <w:next w:val="25"/>
    <w:qFormat/>
    <w:uiPriority w:val="0"/>
    <w:pPr>
      <w:widowControl/>
      <w:numPr>
        <w:ilvl w:val="4"/>
      </w:numPr>
      <w:ind w:left="0"/>
      <w:outlineLvl w:val="3"/>
    </w:pPr>
  </w:style>
  <w:style w:type="paragraph" w:customStyle="1" w:styleId="30">
    <w:name w:val="标准文件_四级条标题"/>
    <w:next w:val="25"/>
    <w:qFormat/>
    <w:uiPriority w:val="0"/>
    <w:pPr>
      <w:widowControl w:val="0"/>
      <w:numPr>
        <w:ilvl w:val="5"/>
        <w:numId w:val="3"/>
      </w:numPr>
      <w:spacing w:before="50" w:beforeLines="50" w:after="50" w:afterLines="50"/>
      <w:jc w:val="both"/>
      <w:outlineLvl w:val="4"/>
    </w:pPr>
    <w:rPr>
      <w:rFonts w:ascii="黑体" w:hAnsi="Times New Roman" w:eastAsia="黑体" w:cs="Times New Roman"/>
      <w:sz w:val="21"/>
      <w:lang w:val="en-US" w:eastAsia="zh-CN" w:bidi="ar-SA"/>
    </w:rPr>
  </w:style>
  <w:style w:type="paragraph" w:customStyle="1" w:styleId="31">
    <w:name w:val="标准文件_五级条标题"/>
    <w:next w:val="25"/>
    <w:qFormat/>
    <w:uiPriority w:val="0"/>
    <w:pPr>
      <w:widowControl w:val="0"/>
      <w:numPr>
        <w:ilvl w:val="6"/>
        <w:numId w:val="3"/>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32">
    <w:name w:val="标准文件_章标题"/>
    <w:next w:val="25"/>
    <w:qFormat/>
    <w:uiPriority w:val="0"/>
    <w:pPr>
      <w:numPr>
        <w:ilvl w:val="1"/>
        <w:numId w:val="3"/>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33">
    <w:name w:val="标准文件_一级条标题"/>
    <w:basedOn w:val="32"/>
    <w:next w:val="25"/>
    <w:qFormat/>
    <w:uiPriority w:val="0"/>
    <w:pPr>
      <w:numPr>
        <w:ilvl w:val="2"/>
      </w:numPr>
      <w:spacing w:before="50" w:beforeLines="50" w:after="50" w:afterLines="50"/>
      <w:ind w:left="0"/>
      <w:outlineLvl w:val="1"/>
    </w:pPr>
  </w:style>
  <w:style w:type="paragraph" w:customStyle="1" w:styleId="34">
    <w:name w:val="前言标题"/>
    <w:next w:val="1"/>
    <w:qFormat/>
    <w:uiPriority w:val="0"/>
    <w:pPr>
      <w:numPr>
        <w:ilvl w:val="0"/>
        <w:numId w:val="3"/>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35">
    <w:name w:val="标准文件_二级无标题"/>
    <w:basedOn w:val="28"/>
    <w:qFormat/>
    <w:uiPriority w:val="0"/>
    <w:pPr>
      <w:spacing w:before="0" w:beforeLines="0" w:after="0" w:afterLines="0"/>
      <w:outlineLvl w:val="9"/>
    </w:pPr>
    <w:rPr>
      <w:rFonts w:ascii="宋体" w:eastAsia="宋体"/>
    </w:rPr>
  </w:style>
  <w:style w:type="paragraph" w:customStyle="1" w:styleId="36">
    <w:name w:val="标准文件_注："/>
    <w:next w:val="25"/>
    <w:qFormat/>
    <w:uiPriority w:val="0"/>
    <w:pPr>
      <w:widowControl w:val="0"/>
      <w:numPr>
        <w:ilvl w:val="0"/>
        <w:numId w:val="4"/>
      </w:numPr>
      <w:autoSpaceDE w:val="0"/>
      <w:autoSpaceDN w:val="0"/>
      <w:jc w:val="both"/>
    </w:pPr>
    <w:rPr>
      <w:rFonts w:ascii="宋体" w:hAnsi="Times New Roman" w:eastAsia="宋体" w:cs="Times New Roman"/>
      <w:sz w:val="18"/>
      <w:szCs w:val="18"/>
      <w:lang w:val="en-US" w:eastAsia="zh-CN" w:bidi="ar-SA"/>
    </w:rPr>
  </w:style>
  <w:style w:type="paragraph" w:customStyle="1" w:styleId="37">
    <w:name w:val="标准文件_一级无标题"/>
    <w:basedOn w:val="33"/>
    <w:qFormat/>
    <w:uiPriority w:val="0"/>
    <w:pPr>
      <w:numPr>
        <w:numId w:val="1"/>
      </w:numPr>
      <w:tabs>
        <w:tab w:val="left" w:pos="0"/>
      </w:tabs>
      <w:spacing w:before="0" w:beforeLines="0" w:after="0" w:afterLines="0"/>
      <w:outlineLvl w:val="9"/>
    </w:pPr>
    <w:rPr>
      <w:rFonts w:ascii="宋体" w:eastAsia="宋体"/>
    </w:rPr>
  </w:style>
  <w:style w:type="paragraph" w:customStyle="1" w:styleId="38">
    <w:name w:val="一级条标题"/>
    <w:next w:val="1"/>
    <w:qFormat/>
    <w:uiPriority w:val="0"/>
    <w:pPr>
      <w:numPr>
        <w:ilvl w:val="1"/>
        <w:numId w:val="5"/>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39">
    <w:name w:val="章标题"/>
    <w:next w:val="1"/>
    <w:qFormat/>
    <w:uiPriority w:val="0"/>
    <w:pPr>
      <w:numPr>
        <w:ilvl w:val="0"/>
        <w:numId w:val="5"/>
      </w:numPr>
      <w:spacing w:before="312" w:beforeLines="100" w:after="312" w:afterLines="100"/>
      <w:jc w:val="both"/>
      <w:outlineLvl w:val="1"/>
    </w:pPr>
    <w:rPr>
      <w:rFonts w:ascii="黑体" w:hAnsi="Times New Roman" w:eastAsia="黑体" w:cs="Times New Roman"/>
      <w:sz w:val="21"/>
      <w:szCs w:val="22"/>
      <w:lang w:val="en-US" w:eastAsia="zh-CN" w:bidi="ar-SA"/>
    </w:rPr>
  </w:style>
  <w:style w:type="paragraph" w:customStyle="1" w:styleId="40">
    <w:name w:val="二级条标题"/>
    <w:basedOn w:val="38"/>
    <w:next w:val="1"/>
    <w:qFormat/>
    <w:uiPriority w:val="0"/>
    <w:pPr>
      <w:numPr>
        <w:ilvl w:val="2"/>
      </w:numPr>
      <w:spacing w:before="50" w:after="50"/>
      <w:outlineLvl w:val="3"/>
    </w:pPr>
  </w:style>
  <w:style w:type="paragraph" w:customStyle="1" w:styleId="41">
    <w:name w:val="三级条标题"/>
    <w:basedOn w:val="40"/>
    <w:next w:val="1"/>
    <w:qFormat/>
    <w:uiPriority w:val="0"/>
    <w:pPr>
      <w:numPr>
        <w:ilvl w:val="3"/>
      </w:numPr>
      <w:outlineLvl w:val="4"/>
    </w:pPr>
  </w:style>
  <w:style w:type="paragraph" w:customStyle="1" w:styleId="42">
    <w:name w:val="四级条标题"/>
    <w:basedOn w:val="41"/>
    <w:next w:val="1"/>
    <w:qFormat/>
    <w:uiPriority w:val="0"/>
    <w:pPr>
      <w:numPr>
        <w:ilvl w:val="4"/>
      </w:numPr>
      <w:outlineLvl w:val="5"/>
    </w:pPr>
  </w:style>
  <w:style w:type="paragraph" w:customStyle="1" w:styleId="43">
    <w:name w:val="五级条标题"/>
    <w:basedOn w:val="42"/>
    <w:next w:val="1"/>
    <w:qFormat/>
    <w:uiPriority w:val="0"/>
    <w:pPr>
      <w:numPr>
        <w:ilvl w:val="5"/>
      </w:numPr>
      <w:outlineLvl w:val="6"/>
    </w:pPr>
  </w:style>
  <w:style w:type="paragraph" w:customStyle="1" w:styleId="44">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45">
    <w:name w:val="修订2"/>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46">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9911</Words>
  <Characters>10364</Characters>
  <Lines>78</Lines>
  <Paragraphs>21</Paragraphs>
  <TotalTime>6</TotalTime>
  <ScaleCrop>false</ScaleCrop>
  <LinksUpToDate>false</LinksUpToDate>
  <CharactersWithSpaces>10382</CharactersWithSpaces>
  <Application>WPS Office_11.1.0.12155_F1E327BC-269C-435d-A152-05C5408002CA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2023-09-01T02:17:00Z</dcterms:created>
  <dc:creator>金蕾</dc:creator>
  <cp:lastModifiedBy>  时光微好</cp:lastModifiedBy>
  <dcterms:modified xsi:type="dcterms:W3CDTF">2023-09-01T07:38:15Z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2052-11.1.0.12155</vt:lpwstr>
  </property>
  <property fmtid="{D5CDD505-2E9C-101B-9397-08002B2CF9AE}" pid="3" name="ICV">
    <vt:lpwstr>5EB02EDF9DC745639426231DC1DAD753_13</vt:lpwstr>
  </property>
</Properties>
</file>